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entury Gothic" w:hAnsi="Century Gothic"/>
          <w:sz w:val="24"/>
          <w:szCs w:val="24"/>
        </w:rPr>
        <w:id w:val="-474833418"/>
        <w:docPartObj>
          <w:docPartGallery w:val="Cover Pages"/>
          <w:docPartUnique/>
        </w:docPartObj>
      </w:sdtPr>
      <w:sdtContent>
        <w:p w:rsidR="00F440E9" w:rsidRPr="00F440E9" w:rsidRDefault="0061519B" w:rsidP="00FE0A4B">
          <w:pPr>
            <w:tabs>
              <w:tab w:val="left" w:pos="1404"/>
            </w:tabs>
            <w:rPr>
              <w:rFonts w:ascii="Century Gothic" w:hAnsi="Century Gothic"/>
              <w:sz w:val="24"/>
              <w:szCs w:val="24"/>
            </w:rPr>
          </w:pPr>
          <w:r>
            <w:rPr>
              <w:rFonts w:ascii="Century Gothic" w:hAnsi="Century Gothic"/>
              <w:noProof/>
              <w:sz w:val="24"/>
              <w:szCs w:val="24"/>
              <w:lang w:eastAsia="tr-TR"/>
            </w:rPr>
            <w:drawing>
              <wp:anchor distT="0" distB="0" distL="114300" distR="114300" simplePos="0" relativeHeight="251664384" behindDoc="1" locked="0" layoutInCell="1" allowOverlap="1">
                <wp:simplePos x="0" y="0"/>
                <wp:positionH relativeFrom="column">
                  <wp:posOffset>4228465</wp:posOffset>
                </wp:positionH>
                <wp:positionV relativeFrom="paragraph">
                  <wp:posOffset>0</wp:posOffset>
                </wp:positionV>
                <wp:extent cx="1975485" cy="1975485"/>
                <wp:effectExtent l="0" t="0" r="0" b="0"/>
                <wp:wrapTight wrapText="bothSides">
                  <wp:wrapPolygon edited="0">
                    <wp:start x="9998" y="208"/>
                    <wp:lineTo x="7707" y="833"/>
                    <wp:lineTo x="2916" y="2916"/>
                    <wp:lineTo x="2916" y="3958"/>
                    <wp:lineTo x="833" y="7290"/>
                    <wp:lineTo x="208" y="10623"/>
                    <wp:lineTo x="833" y="13956"/>
                    <wp:lineTo x="2500" y="17288"/>
                    <wp:lineTo x="2708" y="17913"/>
                    <wp:lineTo x="7290" y="20621"/>
                    <wp:lineTo x="9790" y="21246"/>
                    <wp:lineTo x="11664" y="21246"/>
                    <wp:lineTo x="14164" y="20621"/>
                    <wp:lineTo x="18746" y="17913"/>
                    <wp:lineTo x="18955" y="17288"/>
                    <wp:lineTo x="20621" y="13956"/>
                    <wp:lineTo x="21038" y="10623"/>
                    <wp:lineTo x="20621" y="7290"/>
                    <wp:lineTo x="18538" y="3958"/>
                    <wp:lineTo x="18746" y="3124"/>
                    <wp:lineTo x="13539" y="833"/>
                    <wp:lineTo x="11456" y="208"/>
                    <wp:lineTo x="9998" y="208"/>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5485" cy="1975485"/>
                        </a:xfrm>
                        <a:prstGeom prst="rect">
                          <a:avLst/>
                        </a:prstGeom>
                        <a:noFill/>
                      </pic:spPr>
                    </pic:pic>
                  </a:graphicData>
                </a:graphic>
              </wp:anchor>
            </w:drawing>
          </w:r>
          <w:r w:rsidR="00F440E9" w:rsidRPr="00F440E9">
            <w:rPr>
              <w:rFonts w:ascii="Century Gothic" w:hAnsi="Century Gothic"/>
              <w:noProof/>
              <w:sz w:val="24"/>
              <w:szCs w:val="24"/>
              <w:lang w:eastAsia="tr-TR"/>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solidFill>
                                <a:schemeClr val="accent5">
                                  <a:lumMod val="60000"/>
                                  <a:lumOff val="4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80466" w:rsidRDefault="00F80466">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azar"/>
                                    <w:id w:val="1380359617"/>
                                    <w:dataBinding w:prefixMappings="xmlns:ns0='http://schemas.openxmlformats.org/package/2006/metadata/core-properties' xmlns:ns1='http://purl.org/dc/elements/1.1/'" w:xpath="/ns0:coreProperties[1]/ns1:creator[1]" w:storeItemID="{6C3C8BC8-F283-45AE-878A-BAB7291924A1}"/>
                                    <w:text/>
                                  </w:sdtPr>
                                  <w:sdtContent>
                                    <w:p w:rsidR="00F80466" w:rsidRDefault="00FE0A4B" w:rsidP="0061519B">
                                      <w:pPr>
                                        <w:pStyle w:val="AralkYok"/>
                                        <w:spacing w:line="360" w:lineRule="auto"/>
                                        <w:jc w:val="center"/>
                                        <w:rPr>
                                          <w:color w:val="FFFFFF" w:themeColor="background1"/>
                                        </w:rPr>
                                      </w:pPr>
                                      <w:r w:rsidRPr="0061519B">
                                        <w:rPr>
                                          <w:color w:val="FFFFFF" w:themeColor="background1"/>
                                          <w:sz w:val="52"/>
                                          <w:szCs w:val="52"/>
                                        </w:rPr>
                                        <w:t xml:space="preserve"> </w:t>
                                      </w:r>
                                      <w:r w:rsidR="0061519B" w:rsidRPr="0061519B">
                                        <w:rPr>
                                          <w:color w:val="FFFFFF" w:themeColor="background1"/>
                                          <w:sz w:val="52"/>
                                          <w:szCs w:val="52"/>
                                        </w:rPr>
                                        <w:t>OCAK-HAZİRAN 2024</w:t>
                                      </w:r>
                                    </w:p>
                                  </w:sdtContent>
                                </w:sdt>
                                <w:sdt>
                                  <w:sdtPr>
                                    <w:rPr>
                                      <w:color w:val="FFFFFF" w:themeColor="background1"/>
                                    </w:rPr>
                                    <w:alias w:val="Şirket"/>
                                    <w:id w:val="1760174317"/>
                                    <w:showingPlcHdr/>
                                    <w:dataBinding w:prefixMappings="xmlns:ns0='http://schemas.openxmlformats.org/officeDocument/2006/extended-properties'" w:xpath="/ns0:Properties[1]/ns0:Company[1]" w:storeItemID="{6668398D-A668-4E3E-A5EB-62B293D839F1}"/>
                                    <w:text/>
                                  </w:sdtPr>
                                  <w:sdtContent>
                                    <w:p w:rsidR="00F80466" w:rsidRDefault="00FE0A4B">
                                      <w:pPr>
                                        <w:pStyle w:val="AralkYok"/>
                                        <w:spacing w:line="360" w:lineRule="auto"/>
                                        <w:rPr>
                                          <w:color w:val="FFFFFF" w:themeColor="background1"/>
                                        </w:rPr>
                                      </w:pPr>
                                      <w:r>
                                        <w:rPr>
                                          <w:color w:val="FFFFFF" w:themeColor="background1"/>
                                        </w:rPr>
                                        <w:t xml:space="preserve">     </w:t>
                                      </w:r>
                                    </w:p>
                                  </w:sdtContent>
                                </w:sdt>
                                <w:p w:rsidR="00F80466" w:rsidRDefault="00F80466">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" fillcolor="#8eaadb [1944]" stroked="f" strokecolor="white" strokeweight="1pt">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2f5496 [2408]" stroked="f" strokecolor="#d8d8d8"/>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F80466" w:rsidRDefault="00F80466">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2"/>
                                <w:szCs w:val="52"/>
                              </w:rPr>
                              <w:alias w:val="Yazar"/>
                              <w:id w:val="1380359617"/>
                              <w:dataBinding w:prefixMappings="xmlns:ns0='http://schemas.openxmlformats.org/package/2006/metadata/core-properties' xmlns:ns1='http://purl.org/dc/elements/1.1/'" w:xpath="/ns0:coreProperties[1]/ns1:creator[1]" w:storeItemID="{6C3C8BC8-F283-45AE-878A-BAB7291924A1}"/>
                              <w:text/>
                            </w:sdtPr>
                            <w:sdtContent>
                              <w:p w:rsidR="00F80466" w:rsidRDefault="00FE0A4B" w:rsidP="0061519B">
                                <w:pPr>
                                  <w:pStyle w:val="AralkYok"/>
                                  <w:spacing w:line="360" w:lineRule="auto"/>
                                  <w:jc w:val="center"/>
                                  <w:rPr>
                                    <w:color w:val="FFFFFF" w:themeColor="background1"/>
                                  </w:rPr>
                                </w:pPr>
                                <w:r w:rsidRPr="0061519B">
                                  <w:rPr>
                                    <w:color w:val="FFFFFF" w:themeColor="background1"/>
                                    <w:sz w:val="52"/>
                                    <w:szCs w:val="52"/>
                                  </w:rPr>
                                  <w:t xml:space="preserve"> </w:t>
                                </w:r>
                                <w:r w:rsidR="0061519B" w:rsidRPr="0061519B">
                                  <w:rPr>
                                    <w:color w:val="FFFFFF" w:themeColor="background1"/>
                                    <w:sz w:val="52"/>
                                    <w:szCs w:val="52"/>
                                  </w:rPr>
                                  <w:t>OCAK-HAZİRAN 2024</w:t>
                                </w:r>
                              </w:p>
                            </w:sdtContent>
                          </w:sdt>
                          <w:sdt>
                            <w:sdtPr>
                              <w:rPr>
                                <w:color w:val="FFFFFF" w:themeColor="background1"/>
                              </w:rPr>
                              <w:alias w:val="Şirket"/>
                              <w:id w:val="1760174317"/>
                              <w:showingPlcHdr/>
                              <w:dataBinding w:prefixMappings="xmlns:ns0='http://schemas.openxmlformats.org/officeDocument/2006/extended-properties'" w:xpath="/ns0:Properties[1]/ns0:Company[1]" w:storeItemID="{6668398D-A668-4E3E-A5EB-62B293D839F1}"/>
                              <w:text/>
                            </w:sdtPr>
                            <w:sdtContent>
                              <w:p w:rsidR="00F80466" w:rsidRDefault="00FE0A4B">
                                <w:pPr>
                                  <w:pStyle w:val="AralkYok"/>
                                  <w:spacing w:line="360" w:lineRule="auto"/>
                                  <w:rPr>
                                    <w:color w:val="FFFFFF" w:themeColor="background1"/>
                                  </w:rPr>
                                </w:pPr>
                                <w:r>
                                  <w:rPr>
                                    <w:color w:val="FFFFFF" w:themeColor="background1"/>
                                  </w:rPr>
                                  <w:t xml:space="preserve">     </w:t>
                                </w:r>
                              </w:p>
                            </w:sdtContent>
                          </w:sdt>
                          <w:p w:rsidR="00F80466" w:rsidRDefault="00F80466">
                            <w:pPr>
                              <w:pStyle w:val="AralkYok"/>
                              <w:spacing w:line="360" w:lineRule="auto"/>
                              <w:rPr>
                                <w:color w:val="FFFFFF" w:themeColor="background1"/>
                              </w:rPr>
                            </w:pPr>
                          </w:p>
                        </w:txbxContent>
                      </v:textbox>
                    </v:rect>
                    <w10:wrap anchorx="page" anchory="page"/>
                  </v:group>
                </w:pict>
              </mc:Fallback>
            </mc:AlternateContent>
          </w:r>
          <w:r w:rsidR="00FE0A4B">
            <w:rPr>
              <w:rFonts w:ascii="Century Gothic" w:hAnsi="Century Gothic"/>
              <w:sz w:val="24"/>
              <w:szCs w:val="24"/>
            </w:rPr>
            <w:tab/>
          </w:r>
        </w:p>
        <w:p w:rsidR="00F440E9" w:rsidRPr="00F440E9" w:rsidRDefault="0061519B">
          <w:pPr>
            <w:rPr>
              <w:rFonts w:ascii="Century Gothic" w:hAnsi="Century Gothic"/>
              <w:sz w:val="24"/>
              <w:szCs w:val="24"/>
            </w:rPr>
          </w:pPr>
          <w:r>
            <w:rPr>
              <w:noProof/>
              <w:lang w:eastAsia="tr-TR"/>
            </w:rPr>
            <mc:AlternateContent>
              <mc:Choice Requires="wps">
                <w:drawing>
                  <wp:anchor distT="0" distB="0" distL="114300" distR="114300" simplePos="0" relativeHeight="251666432" behindDoc="1" locked="0" layoutInCell="1" allowOverlap="1" wp14:anchorId="4C9E3A9B" wp14:editId="6D3B36A1">
                    <wp:simplePos x="0" y="0"/>
                    <wp:positionH relativeFrom="column">
                      <wp:posOffset>60325</wp:posOffset>
                    </wp:positionH>
                    <wp:positionV relativeFrom="paragraph">
                      <wp:posOffset>8183245</wp:posOffset>
                    </wp:positionV>
                    <wp:extent cx="2748915" cy="400050"/>
                    <wp:effectExtent l="0" t="0" r="0" b="0"/>
                    <wp:wrapTight wrapText="bothSides">
                      <wp:wrapPolygon edited="0">
                        <wp:start x="0" y="0"/>
                        <wp:lineTo x="0" y="21600"/>
                        <wp:lineTo x="21600" y="21600"/>
                        <wp:lineTo x="21600" y="0"/>
                      </wp:wrapPolygon>
                    </wp:wrapTight>
                    <wp:docPr id="4" name="Metin kutusu 3"/>
                    <wp:cNvGraphicFramePr/>
                    <a:graphic xmlns:a="http://schemas.openxmlformats.org/drawingml/2006/main">
                      <a:graphicData uri="http://schemas.microsoft.com/office/word/2010/wordprocessingShape">
                        <wps:wsp>
                          <wps:cNvSpPr txBox="1"/>
                          <wps:spPr>
                            <a:xfrm>
                              <a:off x="0" y="0"/>
                              <a:ext cx="2748915" cy="400050"/>
                            </a:xfrm>
                            <a:prstGeom prst="rect">
                              <a:avLst/>
                            </a:prstGeom>
                            <a:noFill/>
                          </wps:spPr>
                          <wps:txbx>
                            <w:txbxContent>
                              <w:p w:rsidR="0061519B" w:rsidRPr="0061519B" w:rsidRDefault="0061519B" w:rsidP="0061519B">
                                <w:pPr>
                                  <w:pStyle w:val="NormalWeb"/>
                                  <w:spacing w:before="0" w:beforeAutospacing="0" w:after="0" w:afterAutospacing="0"/>
                                  <w:rPr>
                                    <w:color w:val="002060"/>
                                    <w:sz w:val="18"/>
                                  </w:rPr>
                                </w:pPr>
                                <w:r w:rsidRPr="0061519B">
                                  <w:rPr>
                                    <w:rFonts w:ascii="Century Gothic" w:eastAsia="Tahoma" w:hAnsi="Century Gothic" w:cs="Tahoma"/>
                                    <w:b/>
                                    <w:bCs/>
                                    <w:color w:val="002060"/>
                                    <w:spacing w:val="43"/>
                                    <w:kern w:val="24"/>
                                    <w:sz w:val="28"/>
                                    <w:szCs w:val="40"/>
                                  </w:rPr>
                                  <w:t>www.yildiz.edu.tr</w:t>
                                </w:r>
                              </w:p>
                            </w:txbxContent>
                          </wps:txbx>
                          <wps:bodyPr wrap="none" rtlCol="0">
                            <a:spAutoFit/>
                          </wps:bodyPr>
                        </wps:wsp>
                      </a:graphicData>
                    </a:graphic>
                  </wp:anchor>
                </w:drawing>
              </mc:Choice>
              <mc:Fallback>
                <w:pict>
                  <v:shapetype w14:anchorId="4C9E3A9B" id="_x0000_t202" coordsize="21600,21600" o:spt="202" path="m,l,21600r21600,l21600,xe">
                    <v:stroke joinstyle="miter"/>
                    <v:path gradientshapeok="t" o:connecttype="rect"/>
                  </v:shapetype>
                  <v:shape id="Metin kutusu 3" o:spid="_x0000_s1031" type="#_x0000_t202" style="position:absolute;margin-left:4.75pt;margin-top:644.35pt;width:216.45pt;height:31.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" filled="f" stroked="f">
                    <v:textbox style="mso-fit-shape-to-text:t">
                      <w:txbxContent>
                        <w:p w:rsidR="0061519B" w:rsidRPr="0061519B" w:rsidRDefault="0061519B" w:rsidP="0061519B">
                          <w:pPr>
                            <w:pStyle w:val="NormalWeb"/>
                            <w:spacing w:before="0" w:beforeAutospacing="0" w:after="0" w:afterAutospacing="0"/>
                            <w:rPr>
                              <w:color w:val="002060"/>
                              <w:sz w:val="18"/>
                            </w:rPr>
                          </w:pPr>
                          <w:r w:rsidRPr="0061519B">
                            <w:rPr>
                              <w:rFonts w:ascii="Century Gothic" w:eastAsia="Tahoma" w:hAnsi="Century Gothic" w:cs="Tahoma"/>
                              <w:b/>
                              <w:bCs/>
                              <w:color w:val="002060"/>
                              <w:spacing w:val="43"/>
                              <w:kern w:val="24"/>
                              <w:sz w:val="28"/>
                              <w:szCs w:val="40"/>
                            </w:rPr>
                            <w:t>www.yildiz.edu.tr</w:t>
                          </w:r>
                        </w:p>
                      </w:txbxContent>
                    </v:textbox>
                    <w10:wrap type="tight"/>
                  </v:shape>
                </w:pict>
              </mc:Fallback>
            </mc:AlternateContent>
          </w:r>
          <w:r>
            <w:rPr>
              <w:rFonts w:ascii="Century Gothic" w:hAnsi="Century Gothic"/>
              <w:noProof/>
              <w:sz w:val="24"/>
              <w:szCs w:val="24"/>
              <w:lang w:eastAsia="tr-TR"/>
            </w:rPr>
            <w:drawing>
              <wp:anchor distT="0" distB="0" distL="114300" distR="114300" simplePos="0" relativeHeight="251663360" behindDoc="0" locked="0" layoutInCell="1" allowOverlap="1">
                <wp:simplePos x="0" y="0"/>
                <wp:positionH relativeFrom="margin">
                  <wp:align>center</wp:align>
                </wp:positionH>
                <wp:positionV relativeFrom="paragraph">
                  <wp:posOffset>3894455</wp:posOffset>
                </wp:positionV>
                <wp:extent cx="7498080" cy="2130425"/>
                <wp:effectExtent l="0" t="0" r="7620" b="317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8080" cy="2130425"/>
                        </a:xfrm>
                        <a:prstGeom prst="rect">
                          <a:avLst/>
                        </a:prstGeom>
                        <a:noFill/>
                      </pic:spPr>
                    </pic:pic>
                  </a:graphicData>
                </a:graphic>
                <wp14:sizeRelH relativeFrom="margin">
                  <wp14:pctWidth>0</wp14:pctWidth>
                </wp14:sizeRelH>
                <wp14:sizeRelV relativeFrom="margin">
                  <wp14:pctHeight>0</wp14:pctHeight>
                </wp14:sizeRelV>
              </wp:anchor>
            </w:drawing>
          </w:r>
          <w:r w:rsidRPr="00F440E9">
            <w:rPr>
              <w:rFonts w:ascii="Century Gothic" w:hAnsi="Century Gothic"/>
              <w:noProof/>
              <w:sz w:val="24"/>
              <w:szCs w:val="24"/>
              <w:lang w:eastAsia="tr-TR"/>
            </w:rPr>
            <mc:AlternateContent>
              <mc:Choice Requires="wps">
                <w:drawing>
                  <wp:anchor distT="0" distB="0" distL="114300" distR="114300" simplePos="0" relativeHeight="251661312" behindDoc="0" locked="0" layoutInCell="0" allowOverlap="1">
                    <wp:simplePos x="0" y="0"/>
                    <wp:positionH relativeFrom="page">
                      <wp:posOffset>99060</wp:posOffset>
                    </wp:positionH>
                    <wp:positionV relativeFrom="page">
                      <wp:posOffset>1783080</wp:posOffset>
                    </wp:positionV>
                    <wp:extent cx="4411980" cy="640080"/>
                    <wp:effectExtent l="0" t="0" r="26670" b="1587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980" cy="640080"/>
                            </a:xfrm>
                            <a:prstGeom prst="rect">
                              <a:avLst/>
                            </a:prstGeom>
                            <a:solidFill>
                              <a:srgbClr val="002060"/>
                            </a:solidFill>
                            <a:ln w="19050">
                              <a:solidFill>
                                <a:schemeClr val="tx1"/>
                              </a:solidFill>
                              <a:miter lim="800000"/>
                              <a:headEnd/>
                              <a:tailEnd/>
                            </a:ln>
                          </wps:spPr>
                          <wps:txbx>
                            <w:txbxContent>
                              <w:sdt>
                                <w:sdtPr>
                                  <w:rPr>
                                    <w:color w:val="FFFFFF" w:themeColor="background1"/>
                                    <w:sz w:val="5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F80466" w:rsidRPr="0061519B" w:rsidRDefault="00FE0A4B" w:rsidP="0061519B">
                                    <w:pPr>
                                      <w:pStyle w:val="AralkYok"/>
                                      <w:jc w:val="center"/>
                                      <w:rPr>
                                        <w:color w:val="FFFFFF" w:themeColor="background1"/>
                                        <w:sz w:val="56"/>
                                        <w:szCs w:val="72"/>
                                      </w:rPr>
                                    </w:pPr>
                                    <w:r w:rsidRPr="0061519B">
                                      <w:rPr>
                                        <w:color w:val="FFFFFF" w:themeColor="background1"/>
                                        <w:sz w:val="56"/>
                                        <w:szCs w:val="72"/>
                                      </w:rPr>
                                      <w:t>2021-2025 STRATEJİK PLANI İZLEME VE DEĞERLENDİRME RAPORU</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Dikdörtgen 16" o:spid="_x0000_s1032" style="position:absolute;margin-left:7.8pt;margin-top:140.4pt;width:347.4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" o:allowincell="f" fillcolor="#002060" strokecolor="black [3213]" strokeweight="1.5pt">
                    <v:textbox style="mso-fit-shape-to-text:t" inset="14.4pt,,14.4pt">
                      <w:txbxContent>
                        <w:sdt>
                          <w:sdtPr>
                            <w:rPr>
                              <w:color w:val="FFFFFF" w:themeColor="background1"/>
                              <w:sz w:val="5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F80466" w:rsidRPr="0061519B" w:rsidRDefault="00FE0A4B" w:rsidP="0061519B">
                              <w:pPr>
                                <w:pStyle w:val="AralkYok"/>
                                <w:jc w:val="center"/>
                                <w:rPr>
                                  <w:color w:val="FFFFFF" w:themeColor="background1"/>
                                  <w:sz w:val="56"/>
                                  <w:szCs w:val="72"/>
                                </w:rPr>
                              </w:pPr>
                              <w:r w:rsidRPr="0061519B">
                                <w:rPr>
                                  <w:color w:val="FFFFFF" w:themeColor="background1"/>
                                  <w:sz w:val="56"/>
                                  <w:szCs w:val="72"/>
                                </w:rPr>
                                <w:t>2021-2025 STRATEJİK PLANI İZLEME VE DEĞERLENDİRME RAPORU</w:t>
                              </w:r>
                            </w:p>
                          </w:sdtContent>
                        </w:sdt>
                      </w:txbxContent>
                    </v:textbox>
                    <w10:wrap anchorx="page" anchory="page"/>
                  </v:rect>
                </w:pict>
              </mc:Fallback>
            </mc:AlternateContent>
          </w:r>
          <w:r w:rsidR="00F440E9" w:rsidRPr="00F440E9">
            <w:rPr>
              <w:rFonts w:ascii="Century Gothic" w:hAnsi="Century Gothic"/>
              <w:sz w:val="24"/>
              <w:szCs w:val="24"/>
            </w:rPr>
            <w:br w:type="page"/>
          </w:r>
        </w:p>
      </w:sdtContent>
    </w:sdt>
    <w:sdt>
      <w:sdtPr>
        <w:id w:val="-195647176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5D4551" w:rsidRDefault="005D4551" w:rsidP="005D4551">
          <w:pPr>
            <w:pStyle w:val="TBal"/>
            <w:jc w:val="center"/>
          </w:pPr>
        </w:p>
        <w:p w:rsidR="005D4551" w:rsidRDefault="005D4551" w:rsidP="005D4551">
          <w:pPr>
            <w:pStyle w:val="TBal"/>
            <w:jc w:val="center"/>
          </w:pPr>
        </w:p>
        <w:p w:rsidR="005D4551" w:rsidRDefault="005D4551" w:rsidP="005D4551">
          <w:pPr>
            <w:pStyle w:val="TBal"/>
            <w:jc w:val="center"/>
          </w:pPr>
        </w:p>
        <w:p w:rsidR="005D4551" w:rsidRDefault="005D4551" w:rsidP="005D4551">
          <w:pPr>
            <w:pStyle w:val="TBal"/>
            <w:jc w:val="center"/>
          </w:pPr>
        </w:p>
        <w:p w:rsidR="005D4551" w:rsidRDefault="005D4551" w:rsidP="005D4551">
          <w:pPr>
            <w:pStyle w:val="TBal"/>
            <w:jc w:val="center"/>
          </w:pPr>
        </w:p>
        <w:p w:rsidR="005D4551" w:rsidRPr="005D4551" w:rsidRDefault="005D4551" w:rsidP="005D4551">
          <w:pPr>
            <w:pStyle w:val="TBal"/>
            <w:jc w:val="center"/>
            <w:rPr>
              <w:sz w:val="36"/>
              <w:szCs w:val="36"/>
            </w:rPr>
          </w:pPr>
          <w:r w:rsidRPr="005D4551">
            <w:rPr>
              <w:sz w:val="36"/>
              <w:szCs w:val="36"/>
            </w:rPr>
            <w:t>İÇİNDEKİLER</w:t>
          </w:r>
        </w:p>
        <w:p w:rsidR="005D4551" w:rsidRPr="005D4551" w:rsidRDefault="005D4551" w:rsidP="005D4551">
          <w:pPr>
            <w:pStyle w:val="T1"/>
            <w:tabs>
              <w:tab w:val="right" w:leader="dot" w:pos="9062"/>
            </w:tabs>
            <w:spacing w:before="240"/>
            <w:rPr>
              <w:rFonts w:eastAsiaTheme="minorEastAsia"/>
              <w:noProof/>
              <w:sz w:val="32"/>
              <w:szCs w:val="32"/>
              <w:lang w:eastAsia="tr-TR"/>
            </w:rPr>
          </w:pPr>
          <w:r w:rsidRPr="005D4551">
            <w:rPr>
              <w:sz w:val="32"/>
              <w:szCs w:val="32"/>
            </w:rPr>
            <w:fldChar w:fldCharType="begin"/>
          </w:r>
          <w:r w:rsidRPr="005D4551">
            <w:rPr>
              <w:sz w:val="32"/>
              <w:szCs w:val="32"/>
            </w:rPr>
            <w:instrText xml:space="preserve"> TOC \o "1-3" \h \z \u </w:instrText>
          </w:r>
          <w:r w:rsidRPr="005D4551">
            <w:rPr>
              <w:sz w:val="32"/>
              <w:szCs w:val="32"/>
            </w:rPr>
            <w:fldChar w:fldCharType="separate"/>
          </w:r>
          <w:hyperlink w:anchor="_Toc176541854" w:history="1">
            <w:r w:rsidRPr="005D4551">
              <w:rPr>
                <w:rStyle w:val="Kpr"/>
                <w:noProof/>
                <w:sz w:val="32"/>
                <w:szCs w:val="32"/>
              </w:rPr>
              <w:t>ÜST YÖNETİCİ SUNUŞU</w:t>
            </w:r>
            <w:r w:rsidRPr="005D4551">
              <w:rPr>
                <w:noProof/>
                <w:webHidden/>
                <w:sz w:val="32"/>
                <w:szCs w:val="32"/>
              </w:rPr>
              <w:tab/>
            </w:r>
            <w:r w:rsidRPr="005D4551">
              <w:rPr>
                <w:noProof/>
                <w:webHidden/>
                <w:sz w:val="32"/>
                <w:szCs w:val="32"/>
              </w:rPr>
              <w:fldChar w:fldCharType="begin"/>
            </w:r>
            <w:r w:rsidRPr="005D4551">
              <w:rPr>
                <w:noProof/>
                <w:webHidden/>
                <w:sz w:val="32"/>
                <w:szCs w:val="32"/>
              </w:rPr>
              <w:instrText xml:space="preserve"> PAGEREF _Toc176541854 \h </w:instrText>
            </w:r>
            <w:r w:rsidRPr="005D4551">
              <w:rPr>
                <w:noProof/>
                <w:webHidden/>
                <w:sz w:val="32"/>
                <w:szCs w:val="32"/>
              </w:rPr>
            </w:r>
            <w:r w:rsidRPr="005D4551">
              <w:rPr>
                <w:noProof/>
                <w:webHidden/>
                <w:sz w:val="32"/>
                <w:szCs w:val="32"/>
              </w:rPr>
              <w:fldChar w:fldCharType="separate"/>
            </w:r>
            <w:r w:rsidRPr="005D4551">
              <w:rPr>
                <w:noProof/>
                <w:webHidden/>
                <w:sz w:val="32"/>
                <w:szCs w:val="32"/>
              </w:rPr>
              <w:t>2</w:t>
            </w:r>
            <w:r w:rsidRPr="005D4551">
              <w:rPr>
                <w:noProof/>
                <w:webHidden/>
                <w:sz w:val="32"/>
                <w:szCs w:val="32"/>
              </w:rPr>
              <w:fldChar w:fldCharType="end"/>
            </w:r>
          </w:hyperlink>
        </w:p>
        <w:p w:rsidR="005D4551" w:rsidRPr="005D4551" w:rsidRDefault="005D4551" w:rsidP="005D4551">
          <w:pPr>
            <w:pStyle w:val="T1"/>
            <w:tabs>
              <w:tab w:val="right" w:leader="dot" w:pos="9062"/>
            </w:tabs>
            <w:spacing w:before="240"/>
            <w:rPr>
              <w:rFonts w:eastAsiaTheme="minorEastAsia"/>
              <w:noProof/>
              <w:sz w:val="32"/>
              <w:szCs w:val="32"/>
              <w:lang w:eastAsia="tr-TR"/>
            </w:rPr>
          </w:pPr>
          <w:hyperlink w:anchor="_Toc176541855" w:history="1">
            <w:r w:rsidRPr="005D4551">
              <w:rPr>
                <w:rStyle w:val="Kpr"/>
                <w:noProof/>
                <w:sz w:val="32"/>
                <w:szCs w:val="32"/>
              </w:rPr>
              <w:t>I.GİRİŞ</w:t>
            </w:r>
            <w:r w:rsidRPr="005D4551">
              <w:rPr>
                <w:noProof/>
                <w:webHidden/>
                <w:sz w:val="32"/>
                <w:szCs w:val="32"/>
              </w:rPr>
              <w:tab/>
            </w:r>
            <w:r w:rsidRPr="005D4551">
              <w:rPr>
                <w:noProof/>
                <w:webHidden/>
                <w:sz w:val="32"/>
                <w:szCs w:val="32"/>
              </w:rPr>
              <w:fldChar w:fldCharType="begin"/>
            </w:r>
            <w:r w:rsidRPr="005D4551">
              <w:rPr>
                <w:noProof/>
                <w:webHidden/>
                <w:sz w:val="32"/>
                <w:szCs w:val="32"/>
              </w:rPr>
              <w:instrText xml:space="preserve"> PAGEREF _Toc176541855 \h </w:instrText>
            </w:r>
            <w:r w:rsidRPr="005D4551">
              <w:rPr>
                <w:noProof/>
                <w:webHidden/>
                <w:sz w:val="32"/>
                <w:szCs w:val="32"/>
              </w:rPr>
            </w:r>
            <w:r w:rsidRPr="005D4551">
              <w:rPr>
                <w:noProof/>
                <w:webHidden/>
                <w:sz w:val="32"/>
                <w:szCs w:val="32"/>
              </w:rPr>
              <w:fldChar w:fldCharType="separate"/>
            </w:r>
            <w:r w:rsidRPr="005D4551">
              <w:rPr>
                <w:noProof/>
                <w:webHidden/>
                <w:sz w:val="32"/>
                <w:szCs w:val="32"/>
              </w:rPr>
              <w:t>3</w:t>
            </w:r>
            <w:r w:rsidRPr="005D4551">
              <w:rPr>
                <w:noProof/>
                <w:webHidden/>
                <w:sz w:val="32"/>
                <w:szCs w:val="32"/>
              </w:rPr>
              <w:fldChar w:fldCharType="end"/>
            </w:r>
          </w:hyperlink>
        </w:p>
        <w:p w:rsidR="005D4551" w:rsidRPr="005D4551" w:rsidRDefault="005D4551" w:rsidP="005D4551">
          <w:pPr>
            <w:pStyle w:val="T1"/>
            <w:tabs>
              <w:tab w:val="right" w:leader="dot" w:pos="9062"/>
            </w:tabs>
            <w:spacing w:before="240"/>
            <w:rPr>
              <w:rFonts w:eastAsiaTheme="minorEastAsia"/>
              <w:noProof/>
              <w:sz w:val="32"/>
              <w:szCs w:val="32"/>
              <w:lang w:eastAsia="tr-TR"/>
            </w:rPr>
          </w:pPr>
          <w:hyperlink w:anchor="_Toc176541856" w:history="1">
            <w:r w:rsidRPr="005D4551">
              <w:rPr>
                <w:rStyle w:val="Kpr"/>
                <w:noProof/>
                <w:sz w:val="32"/>
                <w:szCs w:val="32"/>
              </w:rPr>
              <w:t>II. GENEL BİLGİLER</w:t>
            </w:r>
            <w:r w:rsidRPr="005D4551">
              <w:rPr>
                <w:noProof/>
                <w:webHidden/>
                <w:sz w:val="32"/>
                <w:szCs w:val="32"/>
              </w:rPr>
              <w:tab/>
            </w:r>
            <w:r w:rsidRPr="005D4551">
              <w:rPr>
                <w:noProof/>
                <w:webHidden/>
                <w:sz w:val="32"/>
                <w:szCs w:val="32"/>
              </w:rPr>
              <w:fldChar w:fldCharType="begin"/>
            </w:r>
            <w:r w:rsidRPr="005D4551">
              <w:rPr>
                <w:noProof/>
                <w:webHidden/>
                <w:sz w:val="32"/>
                <w:szCs w:val="32"/>
              </w:rPr>
              <w:instrText xml:space="preserve"> PAGEREF _Toc176541856 \h </w:instrText>
            </w:r>
            <w:r w:rsidRPr="005D4551">
              <w:rPr>
                <w:noProof/>
                <w:webHidden/>
                <w:sz w:val="32"/>
                <w:szCs w:val="32"/>
              </w:rPr>
            </w:r>
            <w:r w:rsidRPr="005D4551">
              <w:rPr>
                <w:noProof/>
                <w:webHidden/>
                <w:sz w:val="32"/>
                <w:szCs w:val="32"/>
              </w:rPr>
              <w:fldChar w:fldCharType="separate"/>
            </w:r>
            <w:r w:rsidRPr="005D4551">
              <w:rPr>
                <w:noProof/>
                <w:webHidden/>
                <w:sz w:val="32"/>
                <w:szCs w:val="32"/>
              </w:rPr>
              <w:t>4</w:t>
            </w:r>
            <w:r w:rsidRPr="005D4551">
              <w:rPr>
                <w:noProof/>
                <w:webHidden/>
                <w:sz w:val="32"/>
                <w:szCs w:val="32"/>
              </w:rPr>
              <w:fldChar w:fldCharType="end"/>
            </w:r>
          </w:hyperlink>
        </w:p>
        <w:p w:rsidR="005D4551" w:rsidRPr="005D4551" w:rsidRDefault="005D4551" w:rsidP="005D4551">
          <w:pPr>
            <w:pStyle w:val="T2"/>
            <w:tabs>
              <w:tab w:val="left" w:pos="660"/>
              <w:tab w:val="right" w:leader="dot" w:pos="9062"/>
            </w:tabs>
            <w:spacing w:before="240"/>
            <w:rPr>
              <w:rFonts w:eastAsiaTheme="minorEastAsia"/>
              <w:noProof/>
              <w:sz w:val="32"/>
              <w:szCs w:val="32"/>
              <w:lang w:eastAsia="tr-TR"/>
            </w:rPr>
          </w:pPr>
          <w:hyperlink w:anchor="_Toc176541857" w:history="1">
            <w:r w:rsidRPr="005D4551">
              <w:rPr>
                <w:rStyle w:val="Kpr"/>
                <w:noProof/>
                <w:sz w:val="32"/>
                <w:szCs w:val="32"/>
              </w:rPr>
              <w:t>A.</w:t>
            </w:r>
            <w:r w:rsidRPr="005D4551">
              <w:rPr>
                <w:rFonts w:eastAsiaTheme="minorEastAsia"/>
                <w:noProof/>
                <w:sz w:val="32"/>
                <w:szCs w:val="32"/>
                <w:lang w:eastAsia="tr-TR"/>
              </w:rPr>
              <w:tab/>
            </w:r>
            <w:r w:rsidRPr="005D4551">
              <w:rPr>
                <w:rStyle w:val="Kpr"/>
                <w:noProof/>
                <w:sz w:val="32"/>
                <w:szCs w:val="32"/>
              </w:rPr>
              <w:t>MİSYON, VİZYON VE TEMEL DEĞERLER</w:t>
            </w:r>
            <w:r w:rsidRPr="005D4551">
              <w:rPr>
                <w:noProof/>
                <w:webHidden/>
                <w:sz w:val="32"/>
                <w:szCs w:val="32"/>
              </w:rPr>
              <w:tab/>
            </w:r>
            <w:r w:rsidRPr="005D4551">
              <w:rPr>
                <w:noProof/>
                <w:webHidden/>
                <w:sz w:val="32"/>
                <w:szCs w:val="32"/>
              </w:rPr>
              <w:fldChar w:fldCharType="begin"/>
            </w:r>
            <w:r w:rsidRPr="005D4551">
              <w:rPr>
                <w:noProof/>
                <w:webHidden/>
                <w:sz w:val="32"/>
                <w:szCs w:val="32"/>
              </w:rPr>
              <w:instrText xml:space="preserve"> PAGEREF _Toc176541857 \h </w:instrText>
            </w:r>
            <w:r w:rsidRPr="005D4551">
              <w:rPr>
                <w:noProof/>
                <w:webHidden/>
                <w:sz w:val="32"/>
                <w:szCs w:val="32"/>
              </w:rPr>
            </w:r>
            <w:r w:rsidRPr="005D4551">
              <w:rPr>
                <w:noProof/>
                <w:webHidden/>
                <w:sz w:val="32"/>
                <w:szCs w:val="32"/>
              </w:rPr>
              <w:fldChar w:fldCharType="separate"/>
            </w:r>
            <w:r w:rsidRPr="005D4551">
              <w:rPr>
                <w:noProof/>
                <w:webHidden/>
                <w:sz w:val="32"/>
                <w:szCs w:val="32"/>
              </w:rPr>
              <w:t>4</w:t>
            </w:r>
            <w:r w:rsidRPr="005D4551">
              <w:rPr>
                <w:noProof/>
                <w:webHidden/>
                <w:sz w:val="32"/>
                <w:szCs w:val="32"/>
              </w:rPr>
              <w:fldChar w:fldCharType="end"/>
            </w:r>
          </w:hyperlink>
        </w:p>
        <w:p w:rsidR="005D4551" w:rsidRPr="005D4551" w:rsidRDefault="005D4551" w:rsidP="005D4551">
          <w:pPr>
            <w:pStyle w:val="T2"/>
            <w:tabs>
              <w:tab w:val="left" w:pos="660"/>
              <w:tab w:val="right" w:leader="dot" w:pos="9062"/>
            </w:tabs>
            <w:spacing w:before="240"/>
            <w:rPr>
              <w:rFonts w:eastAsiaTheme="minorEastAsia"/>
              <w:noProof/>
              <w:sz w:val="32"/>
              <w:szCs w:val="32"/>
              <w:lang w:eastAsia="tr-TR"/>
            </w:rPr>
          </w:pPr>
          <w:hyperlink w:anchor="_Toc176541858" w:history="1">
            <w:r w:rsidRPr="005D4551">
              <w:rPr>
                <w:rStyle w:val="Kpr"/>
                <w:noProof/>
                <w:sz w:val="32"/>
                <w:szCs w:val="32"/>
              </w:rPr>
              <w:t>B.</w:t>
            </w:r>
            <w:r w:rsidRPr="005D4551">
              <w:rPr>
                <w:rFonts w:eastAsiaTheme="minorEastAsia"/>
                <w:noProof/>
                <w:sz w:val="32"/>
                <w:szCs w:val="32"/>
                <w:lang w:eastAsia="tr-TR"/>
              </w:rPr>
              <w:tab/>
            </w:r>
            <w:r w:rsidRPr="005D4551">
              <w:rPr>
                <w:rStyle w:val="Kpr"/>
                <w:noProof/>
                <w:sz w:val="32"/>
                <w:szCs w:val="32"/>
              </w:rPr>
              <w:t>STRATEJİK AMAÇ VE HEDEFLER TABLOSU</w:t>
            </w:r>
            <w:r w:rsidRPr="005D4551">
              <w:rPr>
                <w:noProof/>
                <w:webHidden/>
                <w:sz w:val="32"/>
                <w:szCs w:val="32"/>
              </w:rPr>
              <w:tab/>
            </w:r>
            <w:r w:rsidRPr="005D4551">
              <w:rPr>
                <w:noProof/>
                <w:webHidden/>
                <w:sz w:val="32"/>
                <w:szCs w:val="32"/>
              </w:rPr>
              <w:fldChar w:fldCharType="begin"/>
            </w:r>
            <w:r w:rsidRPr="005D4551">
              <w:rPr>
                <w:noProof/>
                <w:webHidden/>
                <w:sz w:val="32"/>
                <w:szCs w:val="32"/>
              </w:rPr>
              <w:instrText xml:space="preserve"> PAGEREF _Toc176541858 \h </w:instrText>
            </w:r>
            <w:r w:rsidRPr="005D4551">
              <w:rPr>
                <w:noProof/>
                <w:webHidden/>
                <w:sz w:val="32"/>
                <w:szCs w:val="32"/>
              </w:rPr>
            </w:r>
            <w:r w:rsidRPr="005D4551">
              <w:rPr>
                <w:noProof/>
                <w:webHidden/>
                <w:sz w:val="32"/>
                <w:szCs w:val="32"/>
              </w:rPr>
              <w:fldChar w:fldCharType="separate"/>
            </w:r>
            <w:r w:rsidRPr="005D4551">
              <w:rPr>
                <w:noProof/>
                <w:webHidden/>
                <w:sz w:val="32"/>
                <w:szCs w:val="32"/>
              </w:rPr>
              <w:t>5</w:t>
            </w:r>
            <w:r w:rsidRPr="005D4551">
              <w:rPr>
                <w:noProof/>
                <w:webHidden/>
                <w:sz w:val="32"/>
                <w:szCs w:val="32"/>
              </w:rPr>
              <w:fldChar w:fldCharType="end"/>
            </w:r>
          </w:hyperlink>
        </w:p>
        <w:p w:rsidR="005D4551" w:rsidRPr="005D4551" w:rsidRDefault="005D4551" w:rsidP="005D4551">
          <w:pPr>
            <w:pStyle w:val="T1"/>
            <w:tabs>
              <w:tab w:val="right" w:leader="dot" w:pos="9062"/>
            </w:tabs>
            <w:spacing w:before="240"/>
            <w:rPr>
              <w:rFonts w:eastAsiaTheme="minorEastAsia"/>
              <w:noProof/>
              <w:sz w:val="32"/>
              <w:szCs w:val="32"/>
              <w:lang w:eastAsia="tr-TR"/>
            </w:rPr>
          </w:pPr>
          <w:hyperlink w:anchor="_Toc176541859" w:history="1">
            <w:r w:rsidRPr="005D4551">
              <w:rPr>
                <w:rStyle w:val="Kpr"/>
                <w:noProof/>
                <w:sz w:val="32"/>
                <w:szCs w:val="32"/>
              </w:rPr>
              <w:t>III. PERFORMANS GÖSTERGELERİ BAZINDA HAZIRLANACAK STRATEJİK PLAN İZLEME TABLOLARI</w:t>
            </w:r>
            <w:r w:rsidRPr="005D4551">
              <w:rPr>
                <w:noProof/>
                <w:webHidden/>
                <w:sz w:val="32"/>
                <w:szCs w:val="32"/>
              </w:rPr>
              <w:tab/>
            </w:r>
            <w:r w:rsidRPr="005D4551">
              <w:rPr>
                <w:noProof/>
                <w:webHidden/>
                <w:sz w:val="32"/>
                <w:szCs w:val="32"/>
              </w:rPr>
              <w:fldChar w:fldCharType="begin"/>
            </w:r>
            <w:r w:rsidRPr="005D4551">
              <w:rPr>
                <w:noProof/>
                <w:webHidden/>
                <w:sz w:val="32"/>
                <w:szCs w:val="32"/>
              </w:rPr>
              <w:instrText xml:space="preserve"> PAGEREF _Toc176541859 \h </w:instrText>
            </w:r>
            <w:r w:rsidRPr="005D4551">
              <w:rPr>
                <w:noProof/>
                <w:webHidden/>
                <w:sz w:val="32"/>
                <w:szCs w:val="32"/>
              </w:rPr>
            </w:r>
            <w:r w:rsidRPr="005D4551">
              <w:rPr>
                <w:noProof/>
                <w:webHidden/>
                <w:sz w:val="32"/>
                <w:szCs w:val="32"/>
              </w:rPr>
              <w:fldChar w:fldCharType="separate"/>
            </w:r>
            <w:r w:rsidRPr="005D4551">
              <w:rPr>
                <w:noProof/>
                <w:webHidden/>
                <w:sz w:val="32"/>
                <w:szCs w:val="32"/>
              </w:rPr>
              <w:t>6</w:t>
            </w:r>
            <w:r w:rsidRPr="005D4551">
              <w:rPr>
                <w:noProof/>
                <w:webHidden/>
                <w:sz w:val="32"/>
                <w:szCs w:val="32"/>
              </w:rPr>
              <w:fldChar w:fldCharType="end"/>
            </w:r>
          </w:hyperlink>
        </w:p>
        <w:p w:rsidR="005D4551" w:rsidRDefault="005D4551" w:rsidP="005D4551">
          <w:pPr>
            <w:spacing w:before="240"/>
            <w:rPr>
              <w:b/>
              <w:bCs/>
            </w:rPr>
          </w:pPr>
          <w:r w:rsidRPr="005D4551">
            <w:rPr>
              <w:b/>
              <w:bCs/>
              <w:sz w:val="32"/>
              <w:szCs w:val="32"/>
            </w:rPr>
            <w:fldChar w:fldCharType="end"/>
          </w:r>
        </w:p>
      </w:sdtContent>
    </w:sdt>
    <w:p w:rsidR="005D4551" w:rsidRDefault="005D4551"/>
    <w:p w:rsidR="00F440E9" w:rsidRPr="00F440E9" w:rsidRDefault="00F440E9">
      <w:pPr>
        <w:rPr>
          <w:rFonts w:ascii="Century Gothic" w:hAnsi="Century Gothic"/>
          <w:sz w:val="24"/>
          <w:szCs w:val="24"/>
        </w:rPr>
      </w:pPr>
      <w:r w:rsidRPr="00F440E9">
        <w:rPr>
          <w:rFonts w:ascii="Century Gothic" w:hAnsi="Century Gothic"/>
          <w:sz w:val="24"/>
          <w:szCs w:val="24"/>
        </w:rPr>
        <w:br w:type="page"/>
      </w:r>
    </w:p>
    <w:p w:rsidR="00F440E9" w:rsidRPr="00F440E9" w:rsidRDefault="00FE0A4B" w:rsidP="00F440E9">
      <w:pPr>
        <w:pStyle w:val="Balk1"/>
      </w:pPr>
      <w:bookmarkStart w:id="0" w:name="_Toc176541854"/>
      <w:r>
        <w:rPr>
          <w:rFonts w:ascii="Century Gothic" w:hAnsi="Century Gothic"/>
          <w:noProof/>
          <w:sz w:val="24"/>
          <w:szCs w:val="24"/>
          <w:lang w:eastAsia="tr-TR"/>
        </w:rPr>
        <w:lastRenderedPageBreak/>
        <w:drawing>
          <wp:anchor distT="0" distB="0" distL="114300" distR="114300" simplePos="0" relativeHeight="251662336" behindDoc="1" locked="0" layoutInCell="1" allowOverlap="1">
            <wp:simplePos x="0" y="0"/>
            <wp:positionH relativeFrom="margin">
              <wp:posOffset>-635</wp:posOffset>
            </wp:positionH>
            <wp:positionV relativeFrom="paragraph">
              <wp:posOffset>456565</wp:posOffset>
            </wp:positionV>
            <wp:extent cx="2628900" cy="330009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3300095"/>
                    </a:xfrm>
                    <a:prstGeom prst="rect">
                      <a:avLst/>
                    </a:prstGeom>
                    <a:noFill/>
                    <a:effectLst>
                      <a:softEdge rad="0"/>
                    </a:effectLst>
                  </pic:spPr>
                </pic:pic>
              </a:graphicData>
            </a:graphic>
            <wp14:sizeRelH relativeFrom="margin">
              <wp14:pctWidth>0</wp14:pctWidth>
            </wp14:sizeRelH>
            <wp14:sizeRelV relativeFrom="margin">
              <wp14:pctHeight>0</wp14:pctHeight>
            </wp14:sizeRelV>
          </wp:anchor>
        </w:drawing>
      </w:r>
      <w:r w:rsidR="00F440E9" w:rsidRPr="00F440E9">
        <w:t>ÜST YÖNETİCİ SUNUŞU</w:t>
      </w:r>
      <w:bookmarkEnd w:id="0"/>
    </w:p>
    <w:p w:rsidR="00F440E9" w:rsidRDefault="00F440E9" w:rsidP="00F440E9">
      <w:pPr>
        <w:jc w:val="both"/>
        <w:rPr>
          <w:rFonts w:ascii="Century Gothic" w:hAnsi="Century Gothic"/>
          <w:sz w:val="24"/>
          <w:szCs w:val="24"/>
        </w:rPr>
      </w:pPr>
      <w:r w:rsidRPr="00F440E9">
        <w:rPr>
          <w:rFonts w:ascii="Century Gothic" w:hAnsi="Century Gothic"/>
          <w:sz w:val="24"/>
          <w:szCs w:val="24"/>
        </w:rPr>
        <w:t xml:space="preserve">Yıldız Teknik Üniversitesi, 100 yılı aşkın köklü geçmişi, güçlü akademik kadrosu, ulusal ve uluslararası alanda lider bir araştırma üniversitesi olma vizyonu ile kurulduğu günden bu yana araştırma ve geliştirme, eğitim ve öğretim, toplumsal katkı gibi üniversitelerin temel fayda alanlarında ülkemizin en nitelikli ve seçkin köklü kurumları arasında yer almaktadır. Türkiye’nin en büyük kamu üniversitelerinden biri olarak akademik gücümüzün odak noktası, hizmet ettiğimiz toplumun karşılaştığı zorlukların üstesinden gelmek ve karşısına çıkan fırsatları değerlendirmektir. Küresel gelişmeler hangi doğrultuda olursa olsun Üniversitemiz, öğrencileri, akademik ve idari personeli, mezunları ve profesyonel iş dünyasının da katılımıyla, güçlü yanlarını kullanıp iyileştirmeye açık yönlerini geliştirerek “uluslararası düzeyde eğitim, öğretim ve araştırma mükemmelliğine ulaşarak toplumun ihtiyaçlarına ve ulusal rekabet gücüne katkıda bulunan bireyler yetiştirme” misyonu ile hareket edecektir. Üniversitemiz bu misyon için akademik mükemmeliyet ve yenilikçilik temel değerlerinden ödün vermeyecektir. </w:t>
      </w:r>
    </w:p>
    <w:p w:rsidR="00F440E9" w:rsidRDefault="00F440E9" w:rsidP="00F440E9">
      <w:pPr>
        <w:jc w:val="both"/>
        <w:rPr>
          <w:rFonts w:ascii="Century Gothic" w:hAnsi="Century Gothic"/>
          <w:sz w:val="24"/>
          <w:szCs w:val="24"/>
        </w:rPr>
      </w:pPr>
      <w:r w:rsidRPr="00F440E9">
        <w:rPr>
          <w:rFonts w:ascii="Century Gothic" w:hAnsi="Century Gothic"/>
          <w:sz w:val="24"/>
          <w:szCs w:val="24"/>
        </w:rPr>
        <w:t xml:space="preserve">Yıldız Teknik Üniversitesi, “Çözüm üretme, yön verme ve dönüştürme sorumluluğumuzu arttırarak bölgesel ve küresel sürdürülebilir kalkınmaya olan belirgin katkımızı güçlendiriyoruz.” yeni vizyonu kapsamında, eğitim ve araştırmadaki mükemmelliğini ve liderliğini sürdürmek yolundaki amaç, hedef ve stratejilerine ulaşmak için Üniversitemize rehberlik edecektir. </w:t>
      </w:r>
    </w:p>
    <w:p w:rsidR="00F440E9" w:rsidRDefault="00F440E9" w:rsidP="00F440E9">
      <w:pPr>
        <w:jc w:val="both"/>
        <w:rPr>
          <w:rFonts w:ascii="Century Gothic" w:hAnsi="Century Gothic"/>
          <w:sz w:val="24"/>
          <w:szCs w:val="24"/>
        </w:rPr>
      </w:pPr>
      <w:r w:rsidRPr="00F440E9">
        <w:rPr>
          <w:rFonts w:ascii="Century Gothic" w:hAnsi="Century Gothic"/>
          <w:sz w:val="24"/>
          <w:szCs w:val="24"/>
        </w:rPr>
        <w:t>Stratejik Planın izlenmesi de amaç ve hedeflerin hesap verme ilkesi ve planın başarısının takibi açısından önem arz etmektedir. Bu nedenle Stratejik Planda belirlenen hedefler doğrultusunda hazırlanan “2021-2025 Strate</w:t>
      </w:r>
      <w:r>
        <w:rPr>
          <w:rFonts w:ascii="Century Gothic" w:hAnsi="Century Gothic"/>
          <w:sz w:val="24"/>
          <w:szCs w:val="24"/>
        </w:rPr>
        <w:t>jik Plan İzleme Raporu” nun 2024</w:t>
      </w:r>
      <w:r w:rsidRPr="00F440E9">
        <w:rPr>
          <w:rFonts w:ascii="Century Gothic" w:hAnsi="Century Gothic"/>
          <w:sz w:val="24"/>
          <w:szCs w:val="24"/>
        </w:rPr>
        <w:t xml:space="preserve"> yılı ilk altı aylık sonuçlarını tüm kamuoyu ile ilgili kurum ve kuruluşların bilgisine sunarım. </w:t>
      </w:r>
    </w:p>
    <w:p w:rsidR="00F440E9" w:rsidRDefault="00F440E9" w:rsidP="00F440E9">
      <w:pPr>
        <w:jc w:val="right"/>
        <w:rPr>
          <w:rFonts w:ascii="Century Gothic" w:hAnsi="Century Gothic"/>
          <w:sz w:val="24"/>
          <w:szCs w:val="24"/>
        </w:rPr>
      </w:pPr>
      <w:r w:rsidRPr="00F440E9">
        <w:rPr>
          <w:rFonts w:ascii="Century Gothic" w:hAnsi="Century Gothic"/>
          <w:sz w:val="24"/>
          <w:szCs w:val="24"/>
        </w:rPr>
        <w:t xml:space="preserve">Prof. Dr. Tamer YILMAZ </w:t>
      </w:r>
    </w:p>
    <w:p w:rsidR="00F440E9" w:rsidRDefault="00F440E9" w:rsidP="00F440E9">
      <w:pPr>
        <w:jc w:val="center"/>
        <w:rPr>
          <w:rFonts w:ascii="Century Gothic" w:hAnsi="Century Gothic"/>
          <w:sz w:val="24"/>
          <w:szCs w:val="24"/>
        </w:rPr>
      </w:pPr>
      <w:r>
        <w:rPr>
          <w:rFonts w:ascii="Century Gothic" w:hAnsi="Century Gothic"/>
          <w:sz w:val="24"/>
          <w:szCs w:val="24"/>
        </w:rPr>
        <w:t xml:space="preserve">                                                                                                   </w:t>
      </w:r>
      <w:r w:rsidRPr="00F440E9">
        <w:rPr>
          <w:rFonts w:ascii="Century Gothic" w:hAnsi="Century Gothic"/>
          <w:sz w:val="24"/>
          <w:szCs w:val="24"/>
        </w:rPr>
        <w:t>Rektör</w:t>
      </w:r>
    </w:p>
    <w:p w:rsidR="00F440E9" w:rsidRDefault="00F440E9">
      <w:pPr>
        <w:rPr>
          <w:rFonts w:ascii="Century Gothic" w:hAnsi="Century Gothic"/>
          <w:sz w:val="24"/>
          <w:szCs w:val="24"/>
        </w:rPr>
      </w:pPr>
      <w:r>
        <w:rPr>
          <w:rFonts w:ascii="Century Gothic" w:hAnsi="Century Gothic"/>
          <w:sz w:val="24"/>
          <w:szCs w:val="24"/>
        </w:rPr>
        <w:br w:type="page"/>
      </w:r>
    </w:p>
    <w:p w:rsidR="00F440E9" w:rsidRDefault="00F440E9" w:rsidP="00F440E9">
      <w:pPr>
        <w:pStyle w:val="Balk1"/>
      </w:pPr>
    </w:p>
    <w:p w:rsidR="00F440E9" w:rsidRDefault="00F440E9" w:rsidP="00F440E9">
      <w:pPr>
        <w:pStyle w:val="Balk1"/>
      </w:pPr>
      <w:bookmarkStart w:id="1" w:name="_Toc176541855"/>
      <w:r>
        <w:t>I.GİRİŞ</w:t>
      </w:r>
      <w:bookmarkEnd w:id="1"/>
    </w:p>
    <w:p w:rsidR="00F440E9" w:rsidRDefault="00F440E9" w:rsidP="00F440E9">
      <w:pPr>
        <w:jc w:val="both"/>
        <w:rPr>
          <w:rFonts w:ascii="Century Gothic" w:hAnsi="Century Gothic"/>
          <w:sz w:val="24"/>
          <w:szCs w:val="24"/>
        </w:rPr>
      </w:pPr>
      <w:r w:rsidRPr="00F440E9">
        <w:rPr>
          <w:rFonts w:ascii="Century Gothic" w:hAnsi="Century Gothic"/>
          <w:sz w:val="24"/>
          <w:szCs w:val="24"/>
        </w:rPr>
        <w:t xml:space="preserve">Ülkemizin kalkınma vizyonu, On Birinci Kalkınma Planı’nda (2019-2023) “Daha fazla değer üreten, daha adil paylaşan, daha güçlü ve müreffeh Türkiye” olarak belirlenmiş ve bu vizyona bağlı hedefler, “İstikrarlı ve güçlü ekonomi; rekabetçi üretim ve verimlilik; nitelikli insan güçlü toplum; yaşanabilir şehirler sürdürülebilir çevre; hukuk devleti, demokratikleşme ve iyi yönetişim” olarak sıralanmaktadır. Üniversitelerin bu hedefler doğrultusunda üzerlerine düşen rolü ve sorumluluğu “araştırma ve geliştirme, eğitim ve toplumsal sorumluluk faaliyetleri” ile yerine getirmesi önem arz etmektedir. </w:t>
      </w:r>
    </w:p>
    <w:p w:rsidR="00F440E9" w:rsidRDefault="00F440E9" w:rsidP="00F440E9">
      <w:pPr>
        <w:jc w:val="both"/>
        <w:rPr>
          <w:rFonts w:ascii="Century Gothic" w:hAnsi="Century Gothic"/>
          <w:sz w:val="24"/>
          <w:szCs w:val="24"/>
        </w:rPr>
      </w:pPr>
      <w:r w:rsidRPr="00F440E9">
        <w:rPr>
          <w:rFonts w:ascii="Century Gothic" w:hAnsi="Century Gothic"/>
          <w:sz w:val="24"/>
          <w:szCs w:val="24"/>
        </w:rPr>
        <w:t xml:space="preserve">Bu çerçevede, kalkınma planlarında belirlenen öncelikli sektörlerde, güçlü bir AR-GE ve yenilik yaklaşımı benimsenerek, yaşadığımız dijital çağın tetikleyicisi olan kritik teknolojiler odağında ülke ve dünya gereksinimlerine ve her alanda rekabet gücümüzü artıracak AR-GE faaliyetleri ve eğitim programlarının gerçekleşmesi sağlanacaktır. AR-GE’ nin , “ürün odaklı olarak” teknoloji transferi mekanizmaları sayesinde üniversite ile buluşan sanayi aracılığıyla tasarım, yatırım, üretim, pazarlama ve ihracat süreçlerinin tamamını içerecek şekilde gerçekleşmesi desteklenecek ve teşvik edilecektir. Üniversite bünyesinde, “Öncelikli sektörler” ve “kritik teknolojiler” gözetilerek kurulacak araştırma altyapılarının ve mükemmeliyet merkezlerinin bir kısmının 6550 Sayılı Kanun kapsamına alınması sağlanacaktır. Üniversitenin laboratuvar altyapısının “kritik teknolojilere” yönelik AR-GE çalışmalarının ihtiyaçlarına göre geliştirilmesi sağlanacaktır. Eğitim modelleri, günümüz gereksinimleri gözetilerek sanayi işbirliği odaklı olarak iyileştirilecek ve geliştirilecektir. Yıldız Teknik Üniversitesi, toplumun da çağa ayak uydurma anlamında gereksinim duyduğu “yaşam boyu öğrenme” ve “girişimcilik” gibi ihtiyaçlarını belirleyerek, derinliğini toplumun sürekli gelişmesi ve iyileşmesi için değerlendirecektir. </w:t>
      </w:r>
    </w:p>
    <w:p w:rsidR="00F440E9" w:rsidRDefault="00F440E9" w:rsidP="00F440E9">
      <w:pPr>
        <w:jc w:val="both"/>
        <w:rPr>
          <w:rFonts w:ascii="Century Gothic" w:hAnsi="Century Gothic"/>
          <w:sz w:val="24"/>
          <w:szCs w:val="24"/>
        </w:rPr>
      </w:pPr>
      <w:r w:rsidRPr="00F440E9">
        <w:rPr>
          <w:rFonts w:ascii="Century Gothic" w:hAnsi="Century Gothic"/>
          <w:sz w:val="24"/>
          <w:szCs w:val="24"/>
        </w:rPr>
        <w:t>Yıldız Teknik Üniversitesini ulusal alanda öncü, uluslararası alanda üst sıralarda yer alan, ülkenin kalkınmasına ve millî hamlesine katkı sağlayarak dünyadaki problemlerin çözümünde rol oynayan yenilikçi ve proaktif, yeni nesil dijital çağa uygun donanım ve yetkinliklere sahip bir üniversite hâline dönüştürmek esas hedefimiz olacaktır.</w:t>
      </w:r>
    </w:p>
    <w:p w:rsidR="00F440E9" w:rsidRDefault="00F440E9">
      <w:pPr>
        <w:rPr>
          <w:rFonts w:ascii="Century Gothic" w:hAnsi="Century Gothic"/>
          <w:sz w:val="24"/>
          <w:szCs w:val="24"/>
        </w:rPr>
      </w:pPr>
      <w:r>
        <w:rPr>
          <w:rFonts w:ascii="Century Gothic" w:hAnsi="Century Gothic"/>
          <w:sz w:val="24"/>
          <w:szCs w:val="24"/>
        </w:rPr>
        <w:br w:type="page"/>
      </w:r>
    </w:p>
    <w:p w:rsidR="003E23C6" w:rsidRDefault="003E23C6" w:rsidP="00F440E9">
      <w:pPr>
        <w:pStyle w:val="Balk1"/>
      </w:pPr>
    </w:p>
    <w:p w:rsidR="00F440E9" w:rsidRDefault="003E23C6" w:rsidP="00F440E9">
      <w:pPr>
        <w:pStyle w:val="Balk1"/>
      </w:pPr>
      <w:bookmarkStart w:id="2" w:name="_Toc176541856"/>
      <w:r>
        <w:t>II. GENEL BİLGİLER</w:t>
      </w:r>
      <w:bookmarkEnd w:id="2"/>
    </w:p>
    <w:p w:rsidR="003E23C6" w:rsidRPr="00CA363A" w:rsidRDefault="003E23C6" w:rsidP="00CA363A">
      <w:pPr>
        <w:pStyle w:val="Balk2"/>
      </w:pPr>
      <w:bookmarkStart w:id="3" w:name="_Toc176541857"/>
      <w:r w:rsidRPr="00CA363A">
        <w:t>MİSYON, VİZYON VE TEMEL DEĞERLER</w:t>
      </w:r>
      <w:bookmarkEnd w:id="3"/>
    </w:p>
    <w:p w:rsidR="003E23C6" w:rsidRPr="003E23C6" w:rsidRDefault="003E23C6" w:rsidP="003E23C6"/>
    <w:p w:rsidR="003E23C6" w:rsidRPr="005D4551" w:rsidRDefault="003E23C6" w:rsidP="005D4551">
      <w:pPr>
        <w:jc w:val="both"/>
        <w:rPr>
          <w:rFonts w:ascii="Century Gothic" w:hAnsi="Century Gothic"/>
          <w:b/>
          <w:sz w:val="24"/>
          <w:szCs w:val="24"/>
        </w:rPr>
      </w:pPr>
      <w:r w:rsidRPr="005D4551">
        <w:rPr>
          <w:rFonts w:ascii="Century Gothic" w:hAnsi="Century Gothic"/>
          <w:b/>
          <w:sz w:val="24"/>
          <w:szCs w:val="24"/>
        </w:rPr>
        <w:t>Misyon</w:t>
      </w:r>
    </w:p>
    <w:p w:rsidR="003E23C6" w:rsidRDefault="003E23C6" w:rsidP="003E23C6">
      <w:pPr>
        <w:jc w:val="both"/>
        <w:rPr>
          <w:rFonts w:ascii="Century Gothic" w:hAnsi="Century Gothic"/>
          <w:sz w:val="24"/>
          <w:szCs w:val="24"/>
        </w:rPr>
      </w:pPr>
      <w:r w:rsidRPr="003E23C6">
        <w:rPr>
          <w:rFonts w:ascii="Century Gothic" w:hAnsi="Century Gothic"/>
          <w:sz w:val="24"/>
          <w:szCs w:val="24"/>
        </w:rPr>
        <w:t>Uluslararası düzeyde eğitim, öğretim ve araştırma mükemmelliğine ulaşarak toplumun ihtiyaçlarına ve ulusal rekabet gücüne katkıda bulunan bireyler yetiştirmek, yenilikçi fikirleri ve uygulamaları hayata geçirmektir.</w:t>
      </w:r>
    </w:p>
    <w:p w:rsidR="003E23C6" w:rsidRPr="003E23C6" w:rsidRDefault="003E23C6" w:rsidP="003E23C6">
      <w:pPr>
        <w:jc w:val="both"/>
        <w:rPr>
          <w:rFonts w:ascii="Century Gothic" w:hAnsi="Century Gothic"/>
          <w:sz w:val="24"/>
          <w:szCs w:val="24"/>
        </w:rPr>
      </w:pPr>
    </w:p>
    <w:p w:rsidR="003E23C6" w:rsidRPr="003E23C6" w:rsidRDefault="003E23C6" w:rsidP="003E23C6">
      <w:pPr>
        <w:jc w:val="both"/>
        <w:rPr>
          <w:rFonts w:ascii="Century Gothic" w:hAnsi="Century Gothic"/>
          <w:b/>
          <w:sz w:val="24"/>
          <w:szCs w:val="24"/>
        </w:rPr>
      </w:pPr>
      <w:bookmarkStart w:id="4" w:name="_Toc67403335"/>
      <w:r w:rsidRPr="003E23C6">
        <w:rPr>
          <w:rFonts w:ascii="Century Gothic" w:hAnsi="Century Gothic"/>
          <w:b/>
          <w:sz w:val="24"/>
          <w:szCs w:val="24"/>
        </w:rPr>
        <w:t>Vizyon</w:t>
      </w:r>
      <w:bookmarkEnd w:id="4"/>
    </w:p>
    <w:p w:rsidR="003E23C6" w:rsidRDefault="003E23C6" w:rsidP="003E23C6">
      <w:pPr>
        <w:jc w:val="both"/>
        <w:rPr>
          <w:rFonts w:ascii="Century Gothic" w:hAnsi="Century Gothic"/>
          <w:sz w:val="24"/>
          <w:szCs w:val="24"/>
        </w:rPr>
      </w:pPr>
      <w:bookmarkStart w:id="5" w:name="_Toc67403336"/>
      <w:r>
        <w:rPr>
          <w:rFonts w:ascii="Century Gothic" w:hAnsi="Century Gothic"/>
          <w:sz w:val="24"/>
          <w:szCs w:val="24"/>
        </w:rPr>
        <w:t>Ç</w:t>
      </w:r>
      <w:r w:rsidRPr="003E23C6">
        <w:rPr>
          <w:rFonts w:ascii="Century Gothic" w:hAnsi="Century Gothic"/>
          <w:sz w:val="24"/>
          <w:szCs w:val="24"/>
        </w:rPr>
        <w:t>özüm üretme, yön verme ve dönüştürme sorumluluğumuzu arttırarak bölgesel ve küresel sürdürülebilir kalkınmaya olan belirgin katkımızı güçlendiriyoruz.</w:t>
      </w:r>
    </w:p>
    <w:p w:rsidR="003E23C6" w:rsidRPr="003E23C6" w:rsidRDefault="003E23C6" w:rsidP="003E23C6">
      <w:pPr>
        <w:jc w:val="both"/>
        <w:rPr>
          <w:rFonts w:ascii="Century Gothic" w:hAnsi="Century Gothic"/>
          <w:sz w:val="24"/>
          <w:szCs w:val="24"/>
        </w:rPr>
      </w:pPr>
      <w:r w:rsidRPr="003E23C6">
        <w:rPr>
          <w:rFonts w:ascii="Century Gothic" w:hAnsi="Century Gothic"/>
          <w:b/>
          <w:sz w:val="24"/>
          <w:szCs w:val="24"/>
        </w:rPr>
        <w:t>Temel Değerler</w:t>
      </w:r>
      <w:bookmarkEnd w:id="5"/>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Özgür, açık ve sorgulayıcı araştırma kültürü</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Millî değerlere ve hedeflere katkı</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İşbirlikli, paylaşımcı, bütünlükçü bir üniversite ruhu</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Değişime ve yeniliğe açıklık</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Sürekli öğrenmeye odaklılık</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Stratejik düşünme ve davranma</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İnsana, topluma ve çevreye farkındalık</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Sosyal sorumluluk ve etik değerlere bağlılık</w:t>
      </w:r>
      <w:r>
        <w:rPr>
          <w:rFonts w:ascii="Century Gothic" w:hAnsi="Century Gothic"/>
          <w:sz w:val="24"/>
          <w:szCs w:val="24"/>
        </w:rPr>
        <w:t>,</w:t>
      </w:r>
    </w:p>
    <w:p w:rsidR="003E23C6" w:rsidRPr="003E23C6" w:rsidRDefault="003E23C6" w:rsidP="003E23C6">
      <w:pPr>
        <w:jc w:val="both"/>
        <w:rPr>
          <w:rFonts w:ascii="Century Gothic" w:hAnsi="Century Gothic"/>
          <w:sz w:val="24"/>
          <w:szCs w:val="24"/>
        </w:rPr>
      </w:pPr>
      <w:r w:rsidRPr="003E23C6">
        <w:rPr>
          <w:rFonts w:ascii="Century Gothic" w:hAnsi="Century Gothic"/>
          <w:sz w:val="24"/>
          <w:szCs w:val="24"/>
        </w:rPr>
        <w:t>Ehliyet ve liyakat</w:t>
      </w:r>
      <w:r>
        <w:rPr>
          <w:rFonts w:ascii="Century Gothic" w:hAnsi="Century Gothic"/>
          <w:sz w:val="24"/>
          <w:szCs w:val="24"/>
        </w:rPr>
        <w:t>.</w:t>
      </w:r>
    </w:p>
    <w:p w:rsidR="003E23C6" w:rsidRDefault="003E23C6">
      <w:r>
        <w:br w:type="page"/>
      </w:r>
    </w:p>
    <w:p w:rsidR="00CA363A" w:rsidRDefault="00CA363A" w:rsidP="00CA363A">
      <w:pPr>
        <w:pStyle w:val="Balk2"/>
      </w:pPr>
      <w:bookmarkStart w:id="6" w:name="_Toc176541858"/>
      <w:r w:rsidRPr="00CA363A">
        <w:lastRenderedPageBreak/>
        <w:t>STRATEJİK AMAÇ VE HEDEFLER TABLOSU</w:t>
      </w:r>
      <w:bookmarkEnd w:id="6"/>
    </w:p>
    <w:p w:rsidR="00CA363A" w:rsidRPr="00CA363A" w:rsidRDefault="00CA363A" w:rsidP="00CA363A"/>
    <w:tbl>
      <w:tblPr>
        <w:tblStyle w:val="TabloKlavuzu"/>
        <w:tblW w:w="0" w:type="auto"/>
        <w:tblLook w:val="04A0" w:firstRow="1" w:lastRow="0" w:firstColumn="1" w:lastColumn="0" w:noHBand="0" w:noVBand="1"/>
      </w:tblPr>
      <w:tblGrid>
        <w:gridCol w:w="3256"/>
        <w:gridCol w:w="5806"/>
      </w:tblGrid>
      <w:tr w:rsidR="00CA363A" w:rsidTr="00FA139E">
        <w:tc>
          <w:tcPr>
            <w:tcW w:w="3256" w:type="dxa"/>
            <w:shd w:val="clear" w:color="auto" w:fill="002060"/>
            <w:vAlign w:val="center"/>
          </w:tcPr>
          <w:p w:rsidR="00CA363A" w:rsidRPr="00FA139E" w:rsidRDefault="00CA363A" w:rsidP="00CA363A">
            <w:pPr>
              <w:spacing w:line="259" w:lineRule="auto"/>
              <w:rPr>
                <w:rFonts w:ascii="Century Gothic" w:hAnsi="Century Gothic"/>
                <w:b/>
                <w:color w:val="FFFFFF" w:themeColor="background1"/>
                <w:sz w:val="24"/>
                <w:szCs w:val="24"/>
              </w:rPr>
            </w:pPr>
            <w:r w:rsidRPr="00FA139E">
              <w:rPr>
                <w:rFonts w:ascii="Century Gothic" w:hAnsi="Century Gothic"/>
                <w:b/>
                <w:color w:val="FFFFFF" w:themeColor="background1"/>
                <w:sz w:val="24"/>
                <w:szCs w:val="24"/>
              </w:rPr>
              <w:t>Amaç 1. Araştırma ve Geliştirmede Öncü Üniversite Olmak</w:t>
            </w:r>
          </w:p>
        </w:tc>
        <w:tc>
          <w:tcPr>
            <w:tcW w:w="5806" w:type="dxa"/>
            <w:shd w:val="clear" w:color="auto" w:fill="E7E6E6" w:themeFill="background2"/>
            <w:vAlign w:val="center"/>
          </w:tcPr>
          <w:p w:rsidR="00CA363A" w:rsidRDefault="00CA363A" w:rsidP="00CA363A">
            <w:pPr>
              <w:rPr>
                <w:rFonts w:ascii="Century Gothic" w:hAnsi="Century Gothic"/>
                <w:sz w:val="24"/>
                <w:szCs w:val="24"/>
              </w:rPr>
            </w:pPr>
            <w:r w:rsidRPr="00CA363A">
              <w:rPr>
                <w:rFonts w:ascii="Century Gothic" w:hAnsi="Century Gothic"/>
                <w:sz w:val="24"/>
                <w:szCs w:val="24"/>
              </w:rPr>
              <w:t>Hedef 1.1. İnovasyon Amaçlı Bilimsel Çalışmaları Artırmak</w:t>
            </w:r>
          </w:p>
          <w:p w:rsidR="00CA363A" w:rsidRPr="00CA363A" w:rsidRDefault="00CA363A" w:rsidP="00CA363A">
            <w:pPr>
              <w:rPr>
                <w:rFonts w:ascii="Century Gothic" w:hAnsi="Century Gothic"/>
                <w:sz w:val="24"/>
                <w:szCs w:val="24"/>
              </w:rPr>
            </w:pPr>
          </w:p>
          <w:p w:rsidR="00CA363A" w:rsidRDefault="00CA363A" w:rsidP="00CA363A">
            <w:pPr>
              <w:rPr>
                <w:rFonts w:ascii="Century Gothic" w:hAnsi="Century Gothic"/>
                <w:sz w:val="24"/>
                <w:szCs w:val="24"/>
              </w:rPr>
            </w:pPr>
            <w:r w:rsidRPr="00CA363A">
              <w:rPr>
                <w:rFonts w:ascii="Century Gothic" w:hAnsi="Century Gothic"/>
                <w:sz w:val="24"/>
                <w:szCs w:val="24"/>
              </w:rPr>
              <w:t>Hedef 1.2. AR-GE Çalışmalarının Ticari Değere Dönüştürmek</w:t>
            </w:r>
          </w:p>
          <w:p w:rsidR="00CA363A" w:rsidRPr="00CA363A" w:rsidRDefault="00CA363A" w:rsidP="00CA363A">
            <w:pPr>
              <w:rPr>
                <w:rFonts w:ascii="Century Gothic" w:hAnsi="Century Gothic"/>
                <w:sz w:val="24"/>
                <w:szCs w:val="24"/>
              </w:rPr>
            </w:pPr>
          </w:p>
          <w:p w:rsidR="00CA363A" w:rsidRDefault="00CA363A" w:rsidP="00CA363A">
            <w:pPr>
              <w:spacing w:line="259" w:lineRule="auto"/>
              <w:rPr>
                <w:rFonts w:ascii="Century Gothic" w:hAnsi="Century Gothic"/>
                <w:sz w:val="24"/>
                <w:szCs w:val="24"/>
              </w:rPr>
            </w:pPr>
            <w:r w:rsidRPr="00CA363A">
              <w:rPr>
                <w:rFonts w:ascii="Century Gothic" w:hAnsi="Century Gothic"/>
                <w:sz w:val="24"/>
                <w:szCs w:val="24"/>
              </w:rPr>
              <w:t>Hedef 1.3. Araştırma Altyapılarını Kurmak ve Kapasitelerini Güçlendirmek</w:t>
            </w:r>
          </w:p>
          <w:p w:rsidR="00CA363A" w:rsidRPr="00CA363A" w:rsidRDefault="00CA363A" w:rsidP="00CA363A">
            <w:pPr>
              <w:spacing w:line="259" w:lineRule="auto"/>
              <w:rPr>
                <w:rFonts w:ascii="Century Gothic" w:hAnsi="Century Gothic"/>
                <w:sz w:val="24"/>
                <w:szCs w:val="24"/>
              </w:rPr>
            </w:pPr>
          </w:p>
        </w:tc>
      </w:tr>
      <w:tr w:rsidR="00CA363A" w:rsidTr="00FA139E">
        <w:tc>
          <w:tcPr>
            <w:tcW w:w="3256" w:type="dxa"/>
            <w:shd w:val="clear" w:color="auto" w:fill="002060"/>
            <w:vAlign w:val="center"/>
          </w:tcPr>
          <w:p w:rsidR="00CA363A" w:rsidRPr="00FA139E" w:rsidRDefault="00CA363A" w:rsidP="00CA363A">
            <w:pPr>
              <w:rPr>
                <w:rFonts w:ascii="Century Gothic" w:hAnsi="Century Gothic"/>
                <w:b/>
                <w:color w:val="FFFFFF" w:themeColor="background1"/>
                <w:sz w:val="24"/>
                <w:szCs w:val="24"/>
              </w:rPr>
            </w:pPr>
            <w:r w:rsidRPr="00FA139E">
              <w:rPr>
                <w:rFonts w:ascii="Century Gothic" w:hAnsi="Century Gothic"/>
                <w:b/>
                <w:color w:val="FFFFFF" w:themeColor="background1"/>
                <w:sz w:val="24"/>
                <w:szCs w:val="24"/>
              </w:rPr>
              <w:t>Amaç 2. Dijital Kapasitesi Yüksek Eğitim ve Öğretimde Öncü Üniversite Olmak</w:t>
            </w:r>
          </w:p>
        </w:tc>
        <w:tc>
          <w:tcPr>
            <w:tcW w:w="5806" w:type="dxa"/>
            <w:shd w:val="clear" w:color="auto" w:fill="E7E6E6" w:themeFill="background2"/>
            <w:vAlign w:val="center"/>
          </w:tcPr>
          <w:p w:rsidR="00CA363A" w:rsidRDefault="00CA363A" w:rsidP="00CA363A">
            <w:pPr>
              <w:rPr>
                <w:rFonts w:ascii="Century Gothic" w:hAnsi="Century Gothic"/>
                <w:sz w:val="24"/>
                <w:szCs w:val="24"/>
              </w:rPr>
            </w:pPr>
            <w:r w:rsidRPr="00CA363A">
              <w:rPr>
                <w:rFonts w:ascii="Century Gothic" w:hAnsi="Century Gothic"/>
                <w:sz w:val="24"/>
                <w:szCs w:val="24"/>
              </w:rPr>
              <w:t>Hedef 2.1. Lisans ve Lisansüstü Öğretimde Tercih Edilen Üniversite Olmak</w:t>
            </w:r>
          </w:p>
          <w:p w:rsidR="00CA363A" w:rsidRPr="00CA363A" w:rsidRDefault="00CA363A" w:rsidP="00CA363A">
            <w:pPr>
              <w:rPr>
                <w:rFonts w:ascii="Century Gothic" w:hAnsi="Century Gothic"/>
                <w:sz w:val="24"/>
                <w:szCs w:val="24"/>
              </w:rPr>
            </w:pPr>
          </w:p>
          <w:p w:rsidR="00CA363A" w:rsidRDefault="00CA363A" w:rsidP="00CA363A">
            <w:pPr>
              <w:rPr>
                <w:rFonts w:ascii="Century Gothic" w:hAnsi="Century Gothic"/>
                <w:sz w:val="24"/>
                <w:szCs w:val="24"/>
              </w:rPr>
            </w:pPr>
            <w:r w:rsidRPr="00CA363A">
              <w:rPr>
                <w:rFonts w:ascii="Century Gothic" w:hAnsi="Century Gothic"/>
                <w:sz w:val="24"/>
                <w:szCs w:val="24"/>
              </w:rPr>
              <w:t>Hedef 2.2. Yenilikçi Eğitim Modelleri, Bilgi ve Kültür Kaynakları Geliştirmek ve Erişimini Kolaylaştırmak</w:t>
            </w:r>
          </w:p>
          <w:p w:rsidR="00CA363A" w:rsidRPr="00CA363A" w:rsidRDefault="00CA363A" w:rsidP="00CA363A">
            <w:pPr>
              <w:rPr>
                <w:rFonts w:ascii="Century Gothic" w:hAnsi="Century Gothic"/>
                <w:sz w:val="24"/>
                <w:szCs w:val="24"/>
              </w:rPr>
            </w:pPr>
          </w:p>
          <w:p w:rsidR="00CA363A" w:rsidRDefault="00CA363A" w:rsidP="00CA363A">
            <w:pPr>
              <w:rPr>
                <w:rFonts w:ascii="Century Gothic" w:hAnsi="Century Gothic"/>
                <w:sz w:val="24"/>
                <w:szCs w:val="24"/>
              </w:rPr>
            </w:pPr>
            <w:r w:rsidRPr="00CA363A">
              <w:rPr>
                <w:rFonts w:ascii="Century Gothic" w:hAnsi="Century Gothic"/>
                <w:sz w:val="24"/>
                <w:szCs w:val="24"/>
              </w:rPr>
              <w:t>Hedef 2.3. Uluslararası Eğitim Standartlarında Eğitim-Öğretim Vermek</w:t>
            </w:r>
          </w:p>
          <w:p w:rsidR="00CA363A" w:rsidRPr="00CA363A" w:rsidRDefault="00CA363A" w:rsidP="00CA363A">
            <w:pPr>
              <w:rPr>
                <w:rFonts w:ascii="Century Gothic" w:hAnsi="Century Gothic"/>
                <w:sz w:val="24"/>
                <w:szCs w:val="24"/>
              </w:rPr>
            </w:pPr>
          </w:p>
          <w:p w:rsidR="00CA363A" w:rsidRDefault="00CA363A" w:rsidP="00CA363A">
            <w:pPr>
              <w:rPr>
                <w:rFonts w:ascii="Century Gothic" w:hAnsi="Century Gothic"/>
                <w:sz w:val="24"/>
                <w:szCs w:val="24"/>
              </w:rPr>
            </w:pPr>
            <w:r w:rsidRPr="00CA363A">
              <w:rPr>
                <w:rFonts w:ascii="Century Gothic" w:hAnsi="Century Gothic"/>
                <w:sz w:val="24"/>
                <w:szCs w:val="24"/>
              </w:rPr>
              <w:t>Hedef 2.4. Alanında Yetkin, Araştırmacı, Bilgi Üreten ve Aktaran Akademisyenlerin Yetiştirmek</w:t>
            </w:r>
          </w:p>
          <w:p w:rsidR="00CA363A" w:rsidRPr="00CA363A" w:rsidRDefault="00CA363A" w:rsidP="00CA363A">
            <w:pPr>
              <w:rPr>
                <w:rFonts w:ascii="Century Gothic" w:hAnsi="Century Gothic"/>
                <w:sz w:val="24"/>
                <w:szCs w:val="24"/>
              </w:rPr>
            </w:pPr>
          </w:p>
          <w:p w:rsidR="00CA363A" w:rsidRDefault="00CA363A" w:rsidP="00CA363A">
            <w:pPr>
              <w:spacing w:line="259" w:lineRule="auto"/>
              <w:rPr>
                <w:rFonts w:ascii="Century Gothic" w:hAnsi="Century Gothic"/>
                <w:sz w:val="24"/>
                <w:szCs w:val="24"/>
              </w:rPr>
            </w:pPr>
            <w:r w:rsidRPr="00CA363A">
              <w:rPr>
                <w:rFonts w:ascii="Century Gothic" w:hAnsi="Century Gothic"/>
                <w:sz w:val="24"/>
                <w:szCs w:val="24"/>
              </w:rPr>
              <w:t>Hedef 2.5. Öğrenci Yaşamını İyileştirmek</w:t>
            </w:r>
          </w:p>
          <w:p w:rsidR="00CA363A" w:rsidRPr="00CA363A" w:rsidRDefault="00CA363A" w:rsidP="00CA363A">
            <w:pPr>
              <w:spacing w:line="259" w:lineRule="auto"/>
              <w:rPr>
                <w:rFonts w:ascii="Century Gothic" w:hAnsi="Century Gothic"/>
                <w:sz w:val="24"/>
                <w:szCs w:val="24"/>
              </w:rPr>
            </w:pPr>
          </w:p>
        </w:tc>
      </w:tr>
      <w:tr w:rsidR="00CA363A" w:rsidTr="00FA139E">
        <w:tc>
          <w:tcPr>
            <w:tcW w:w="3256" w:type="dxa"/>
            <w:shd w:val="clear" w:color="auto" w:fill="002060"/>
            <w:vAlign w:val="center"/>
          </w:tcPr>
          <w:p w:rsidR="00CA363A" w:rsidRPr="00FA139E" w:rsidRDefault="00CA363A" w:rsidP="00CA363A">
            <w:pPr>
              <w:rPr>
                <w:rFonts w:ascii="Century Gothic" w:hAnsi="Century Gothic"/>
                <w:b/>
                <w:color w:val="FFFFFF" w:themeColor="background1"/>
                <w:sz w:val="24"/>
                <w:szCs w:val="24"/>
              </w:rPr>
            </w:pPr>
            <w:r w:rsidRPr="00FA139E">
              <w:rPr>
                <w:rFonts w:ascii="Century Gothic" w:hAnsi="Century Gothic"/>
                <w:b/>
                <w:color w:val="FFFFFF" w:themeColor="background1"/>
                <w:sz w:val="24"/>
                <w:szCs w:val="24"/>
              </w:rPr>
              <w:t>Amaç 3.Kurumsallıkta Mükemmelleşmek ve Sürdürülebilirliğini Sağlamak</w:t>
            </w:r>
          </w:p>
        </w:tc>
        <w:tc>
          <w:tcPr>
            <w:tcW w:w="5806" w:type="dxa"/>
            <w:shd w:val="clear" w:color="auto" w:fill="E7E6E6" w:themeFill="background2"/>
            <w:vAlign w:val="center"/>
          </w:tcPr>
          <w:p w:rsidR="00CA363A" w:rsidRDefault="00CA363A" w:rsidP="00CA363A">
            <w:pPr>
              <w:rPr>
                <w:rFonts w:ascii="Century Gothic" w:hAnsi="Century Gothic"/>
                <w:sz w:val="24"/>
                <w:szCs w:val="24"/>
              </w:rPr>
            </w:pPr>
            <w:r w:rsidRPr="00CA363A">
              <w:rPr>
                <w:rFonts w:ascii="Century Gothic" w:hAnsi="Century Gothic"/>
                <w:sz w:val="24"/>
                <w:szCs w:val="24"/>
              </w:rPr>
              <w:t>Hedef 3.1. Yönetim Uygulamalarını ve Sistemlerini Geliştirmek</w:t>
            </w:r>
          </w:p>
          <w:p w:rsidR="00CA363A" w:rsidRPr="00CA363A" w:rsidRDefault="00CA363A" w:rsidP="00CA363A">
            <w:pPr>
              <w:rPr>
                <w:rFonts w:ascii="Century Gothic" w:hAnsi="Century Gothic"/>
                <w:sz w:val="24"/>
                <w:szCs w:val="24"/>
              </w:rPr>
            </w:pPr>
          </w:p>
          <w:p w:rsidR="00CA363A" w:rsidRDefault="00CA363A" w:rsidP="00CA363A">
            <w:pPr>
              <w:rPr>
                <w:rFonts w:ascii="Century Gothic" w:hAnsi="Century Gothic"/>
                <w:sz w:val="24"/>
                <w:szCs w:val="24"/>
              </w:rPr>
            </w:pPr>
            <w:r w:rsidRPr="00CA363A">
              <w:rPr>
                <w:rFonts w:ascii="Century Gothic" w:hAnsi="Century Gothic"/>
                <w:sz w:val="24"/>
                <w:szCs w:val="24"/>
              </w:rPr>
              <w:t>Hedef 3.2. Bilişim Altyapısını Tasarlamak ve Sürekli İyileştirmek</w:t>
            </w:r>
          </w:p>
          <w:p w:rsidR="00CA363A" w:rsidRPr="00CA363A" w:rsidRDefault="00CA363A" w:rsidP="00CA363A">
            <w:pPr>
              <w:rPr>
                <w:rFonts w:ascii="Century Gothic" w:hAnsi="Century Gothic"/>
                <w:sz w:val="24"/>
                <w:szCs w:val="24"/>
              </w:rPr>
            </w:pPr>
          </w:p>
          <w:p w:rsidR="00CA363A" w:rsidRDefault="00CA363A" w:rsidP="00CA363A">
            <w:pPr>
              <w:spacing w:line="259" w:lineRule="auto"/>
              <w:rPr>
                <w:rFonts w:ascii="Century Gothic" w:hAnsi="Century Gothic"/>
                <w:sz w:val="24"/>
                <w:szCs w:val="24"/>
              </w:rPr>
            </w:pPr>
            <w:r w:rsidRPr="00CA363A">
              <w:rPr>
                <w:rFonts w:ascii="Century Gothic" w:hAnsi="Century Gothic"/>
                <w:sz w:val="24"/>
                <w:szCs w:val="24"/>
              </w:rPr>
              <w:t>Hedef 3.3. Kurumsal İletişim ve Tanıtımı Sürekli İyileştirmek</w:t>
            </w:r>
          </w:p>
          <w:p w:rsidR="00CA363A" w:rsidRPr="00CA363A" w:rsidRDefault="00CA363A" w:rsidP="00CA363A">
            <w:pPr>
              <w:spacing w:line="259" w:lineRule="auto"/>
              <w:rPr>
                <w:rFonts w:ascii="Century Gothic" w:hAnsi="Century Gothic"/>
                <w:sz w:val="24"/>
                <w:szCs w:val="24"/>
              </w:rPr>
            </w:pPr>
          </w:p>
        </w:tc>
      </w:tr>
      <w:tr w:rsidR="00CA363A" w:rsidTr="00FA139E">
        <w:tc>
          <w:tcPr>
            <w:tcW w:w="3256" w:type="dxa"/>
            <w:shd w:val="clear" w:color="auto" w:fill="002060"/>
            <w:vAlign w:val="center"/>
          </w:tcPr>
          <w:p w:rsidR="00CA363A" w:rsidRPr="00FA139E" w:rsidRDefault="00CA363A" w:rsidP="00CA363A">
            <w:pPr>
              <w:rPr>
                <w:rFonts w:ascii="Century Gothic" w:hAnsi="Century Gothic"/>
                <w:b/>
                <w:color w:val="FFFFFF" w:themeColor="background1"/>
                <w:sz w:val="24"/>
                <w:szCs w:val="24"/>
              </w:rPr>
            </w:pPr>
            <w:r w:rsidRPr="00FA139E">
              <w:rPr>
                <w:rFonts w:ascii="Century Gothic" w:hAnsi="Century Gothic"/>
                <w:b/>
                <w:color w:val="FFFFFF" w:themeColor="background1"/>
                <w:sz w:val="24"/>
                <w:szCs w:val="24"/>
              </w:rPr>
              <w:t>Amaç 4.Toplumun Yaşam Kalitesinin Yükseltilmesine Yönelik Çalışmalara Öncülük Etmek</w:t>
            </w:r>
          </w:p>
        </w:tc>
        <w:tc>
          <w:tcPr>
            <w:tcW w:w="5806" w:type="dxa"/>
            <w:shd w:val="clear" w:color="auto" w:fill="E7E6E6" w:themeFill="background2"/>
            <w:vAlign w:val="center"/>
          </w:tcPr>
          <w:p w:rsidR="00CA363A" w:rsidRDefault="00CA363A" w:rsidP="00CA363A">
            <w:pPr>
              <w:rPr>
                <w:rFonts w:ascii="Century Gothic" w:hAnsi="Century Gothic"/>
                <w:sz w:val="24"/>
                <w:szCs w:val="24"/>
              </w:rPr>
            </w:pPr>
            <w:r w:rsidRPr="00CA363A">
              <w:rPr>
                <w:rFonts w:ascii="Century Gothic" w:hAnsi="Century Gothic"/>
                <w:sz w:val="24"/>
                <w:szCs w:val="24"/>
              </w:rPr>
              <w:t>Hedef 4.1. Toplumun Temel Sorunlarını Tespit Ederek Bu Sorunlara Çözümler Üretmek</w:t>
            </w:r>
          </w:p>
          <w:p w:rsidR="00CA363A" w:rsidRPr="00CA363A" w:rsidRDefault="00CA363A" w:rsidP="00CA363A">
            <w:pPr>
              <w:rPr>
                <w:rFonts w:ascii="Century Gothic" w:hAnsi="Century Gothic"/>
                <w:sz w:val="24"/>
                <w:szCs w:val="24"/>
              </w:rPr>
            </w:pPr>
          </w:p>
          <w:p w:rsidR="00CA363A" w:rsidRDefault="00CA363A" w:rsidP="00CA363A">
            <w:pPr>
              <w:spacing w:line="259" w:lineRule="auto"/>
              <w:rPr>
                <w:rFonts w:ascii="Century Gothic" w:hAnsi="Century Gothic"/>
                <w:sz w:val="24"/>
                <w:szCs w:val="24"/>
              </w:rPr>
            </w:pPr>
            <w:r w:rsidRPr="00CA363A">
              <w:rPr>
                <w:rFonts w:ascii="Century Gothic" w:hAnsi="Century Gothic"/>
                <w:sz w:val="24"/>
                <w:szCs w:val="24"/>
              </w:rPr>
              <w:t>Hedef 4.2. Paydaşlarımızın Üniversite Faaliyetlerine Katılım ve Katkılarının Sürekliliğini Sağlamak</w:t>
            </w:r>
          </w:p>
          <w:p w:rsidR="00CA363A" w:rsidRPr="00CA363A" w:rsidRDefault="00CA363A" w:rsidP="00CA363A">
            <w:pPr>
              <w:spacing w:line="259" w:lineRule="auto"/>
              <w:rPr>
                <w:rFonts w:ascii="Century Gothic" w:hAnsi="Century Gothic"/>
                <w:sz w:val="24"/>
                <w:szCs w:val="24"/>
              </w:rPr>
            </w:pPr>
          </w:p>
        </w:tc>
      </w:tr>
    </w:tbl>
    <w:p w:rsidR="00CA363A" w:rsidRDefault="00CA363A" w:rsidP="00CA363A"/>
    <w:p w:rsidR="0054369A" w:rsidRDefault="0054369A">
      <w:r>
        <w:br w:type="page"/>
      </w:r>
    </w:p>
    <w:p w:rsidR="00FA139E" w:rsidRDefault="00FA139E" w:rsidP="00FA139E">
      <w:pPr>
        <w:pStyle w:val="Balk1"/>
      </w:pPr>
    </w:p>
    <w:p w:rsidR="0054369A" w:rsidRDefault="00FA139E" w:rsidP="00FA139E">
      <w:pPr>
        <w:pStyle w:val="Balk1"/>
      </w:pPr>
      <w:bookmarkStart w:id="7" w:name="_Toc176541859"/>
      <w:r w:rsidRPr="00FA139E">
        <w:t>III. PERFORMANS GÖSTERGELERİ BAZINDA HAZIRLANACAK STRATEJİK PLAN İZLEME TABLOLARI</w:t>
      </w:r>
      <w:bookmarkEnd w:id="7"/>
    </w:p>
    <w:p w:rsidR="00FA139E" w:rsidRPr="00FA139E" w:rsidRDefault="00FA139E" w:rsidP="00FA139E"/>
    <w:p w:rsidR="00FA139E" w:rsidRDefault="00FA139E" w:rsidP="00FA139E">
      <w:pPr>
        <w:jc w:val="both"/>
        <w:rPr>
          <w:rFonts w:ascii="Century Gothic" w:hAnsi="Century Gothic"/>
          <w:sz w:val="24"/>
          <w:szCs w:val="24"/>
        </w:rPr>
      </w:pPr>
      <w:r w:rsidRPr="00FA139E">
        <w:rPr>
          <w:rFonts w:ascii="Century Gothic" w:hAnsi="Century Gothic"/>
          <w:sz w:val="24"/>
          <w:szCs w:val="24"/>
        </w:rPr>
        <w:t xml:space="preserve">22 Nisan 2021 Tarih ve 31462 sayılı Kamu İdarelerince Hazırlanacak Stratejik Planlar ve Performans Programları ile Faaliyet Raporlarına İlişkin Usul ve Esaslar Hakkında Yönetmelik’in 22. maddesinde; “Kamu idareleri stratejik plan ve performans programlarını, ilgili olduğu yıl içerisinde periyodik olarak izler ve değerlendirir. Strateji Geliştirme Kurulu; stratejik plan ve performans programı izleme ve değerlendirme sonuçlarının hazırlanmasını müteakip izleme ve değerlendirme toplantıları yapar.” denilmektedir. </w:t>
      </w:r>
    </w:p>
    <w:p w:rsidR="00FA139E" w:rsidRDefault="00FA139E" w:rsidP="00FA139E">
      <w:pPr>
        <w:jc w:val="both"/>
        <w:rPr>
          <w:rFonts w:ascii="Century Gothic" w:hAnsi="Century Gothic"/>
          <w:sz w:val="24"/>
          <w:szCs w:val="24"/>
        </w:rPr>
      </w:pPr>
      <w:r w:rsidRPr="00FA139E">
        <w:rPr>
          <w:rFonts w:ascii="Century Gothic" w:hAnsi="Century Gothic"/>
          <w:sz w:val="24"/>
          <w:szCs w:val="24"/>
        </w:rPr>
        <w:t>Stratejik Plan İzleme Raporu; stratejik plandaki performans göstergelerine ilişkin Ocak-Haziran dönemi gerçekleşmelerinin izlenmesine imkân veren ve her yıl temmuz ayının sonuna kadar hazırlanan rapordur. Üniversitemiz; 2021-2025 Stratejik Planı 2023 yılında güncellenmiş olup ilgili tablolar güncellenen göstergeler ışığında hazır</w:t>
      </w:r>
      <w:r>
        <w:rPr>
          <w:rFonts w:ascii="Century Gothic" w:hAnsi="Century Gothic"/>
          <w:sz w:val="24"/>
          <w:szCs w:val="24"/>
        </w:rPr>
        <w:t>lanmıştır. Ocak-Haziran 2024</w:t>
      </w:r>
      <w:r w:rsidRPr="00FA139E">
        <w:rPr>
          <w:rFonts w:ascii="Century Gothic" w:hAnsi="Century Gothic"/>
          <w:sz w:val="24"/>
          <w:szCs w:val="24"/>
        </w:rPr>
        <w:t xml:space="preserve"> dönemine ait izleme raporu hazırlık sürecini, Strateji Geliştirme Daire Başkanlığı tarafından tüm birimlere, veri girişlerini Veri Yönetim Sistemi (VYS)’ne yapılmasına ilişkin yazı yazarak başlatmıştır. Veri girişlerinin tamamlanmasından sonra bilgiler konsolide edilerek Üniversiteler İçin Stratejik Planlama Rehberi’nin İzleme ve Değerlendirme başlığı altında 2021-2025 Stratejik Planı’ nı izlemek adına tanımlanan Tablo 25: Stratejik Plan İzleme Tabloları oluşturulmuştur. </w:t>
      </w:r>
    </w:p>
    <w:p w:rsidR="00FA139E" w:rsidRDefault="00FA139E" w:rsidP="00FA139E">
      <w:pPr>
        <w:jc w:val="both"/>
        <w:rPr>
          <w:rFonts w:ascii="Century Gothic" w:hAnsi="Century Gothic"/>
          <w:sz w:val="24"/>
          <w:szCs w:val="24"/>
        </w:rPr>
      </w:pPr>
      <w:r w:rsidRPr="00FA139E">
        <w:rPr>
          <w:rFonts w:ascii="Century Gothic" w:hAnsi="Century Gothic"/>
          <w:sz w:val="24"/>
          <w:szCs w:val="24"/>
        </w:rPr>
        <w:t>Üniversitemizin 2021-2025 Stratejik Planında 4 başlık altında amaçlar belirlenmiş olup, bunlara tanımlanan toplam 13 hedef bulunmaktadır. Aşağıda bu amaç ve hedeflere ilişk</w:t>
      </w:r>
      <w:r>
        <w:rPr>
          <w:rFonts w:ascii="Century Gothic" w:hAnsi="Century Gothic"/>
          <w:sz w:val="24"/>
          <w:szCs w:val="24"/>
        </w:rPr>
        <w:t>in tanımlanan göstergelerin 2024</w:t>
      </w:r>
      <w:r w:rsidRPr="00FA139E">
        <w:rPr>
          <w:rFonts w:ascii="Century Gothic" w:hAnsi="Century Gothic"/>
          <w:sz w:val="24"/>
          <w:szCs w:val="24"/>
        </w:rPr>
        <w:t xml:space="preserve"> yılı için ilk altı aylık gerçekleşme sonuçları yer almaktadır.</w:t>
      </w:r>
    </w:p>
    <w:p w:rsidR="00FA139E" w:rsidRDefault="00FA139E" w:rsidP="00FA139E">
      <w:pPr>
        <w:jc w:val="both"/>
        <w:rPr>
          <w:rFonts w:ascii="Century Gothic" w:hAnsi="Century Gothic"/>
          <w:sz w:val="24"/>
          <w:szCs w:val="24"/>
        </w:rPr>
      </w:pPr>
    </w:p>
    <w:p w:rsidR="00FA139E" w:rsidRDefault="00FA139E">
      <w:pPr>
        <w:rPr>
          <w:rFonts w:ascii="Century Gothic" w:hAnsi="Century Gothic"/>
          <w:sz w:val="24"/>
          <w:szCs w:val="24"/>
        </w:rPr>
      </w:pPr>
      <w:r>
        <w:rPr>
          <w:rFonts w:ascii="Century Gothic" w:hAnsi="Century Gothic"/>
          <w:sz w:val="24"/>
          <w:szCs w:val="24"/>
        </w:rPr>
        <w:br w:type="page"/>
      </w:r>
    </w:p>
    <w:tbl>
      <w:tblPr>
        <w:tblW w:w="5000" w:type="pct"/>
        <w:tblCellMar>
          <w:left w:w="70" w:type="dxa"/>
          <w:right w:w="70" w:type="dxa"/>
        </w:tblCellMar>
        <w:tblLook w:val="04A0" w:firstRow="1" w:lastRow="0" w:firstColumn="1" w:lastColumn="0" w:noHBand="0" w:noVBand="1"/>
      </w:tblPr>
      <w:tblGrid>
        <w:gridCol w:w="2662"/>
        <w:gridCol w:w="849"/>
        <w:gridCol w:w="1453"/>
        <w:gridCol w:w="1415"/>
        <w:gridCol w:w="1453"/>
        <w:gridCol w:w="1220"/>
      </w:tblGrid>
      <w:tr w:rsidR="00DE4C4E" w:rsidRPr="00DE4C4E" w:rsidTr="00DE4C4E">
        <w:trPr>
          <w:trHeight w:val="300"/>
        </w:trPr>
        <w:tc>
          <w:tcPr>
            <w:tcW w:w="1628"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lastRenderedPageBreak/>
              <w:t xml:space="preserve">Amaç 1. </w:t>
            </w:r>
          </w:p>
        </w:tc>
        <w:tc>
          <w:tcPr>
            <w:tcW w:w="3372"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Araştırma ve Geliştirmede Öncü Üniversite Olmak</w:t>
            </w:r>
          </w:p>
        </w:tc>
      </w:tr>
      <w:tr w:rsidR="00DE4C4E" w:rsidRPr="00DE4C4E" w:rsidTr="00DE4C4E">
        <w:trPr>
          <w:trHeight w:val="300"/>
        </w:trPr>
        <w:tc>
          <w:tcPr>
            <w:tcW w:w="162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1.1</w:t>
            </w:r>
          </w:p>
        </w:tc>
        <w:tc>
          <w:tcPr>
            <w:tcW w:w="3372" w:type="pct"/>
            <w:gridSpan w:val="5"/>
            <w:tcBorders>
              <w:top w:val="single" w:sz="8" w:space="0" w:color="D9D9D9"/>
              <w:left w:val="nil"/>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Inovasyon Amaçlı Bilimsel Çalışmaları Artırmak</w:t>
            </w:r>
          </w:p>
        </w:tc>
      </w:tr>
      <w:tr w:rsidR="00DE4C4E" w:rsidRPr="00DE4C4E" w:rsidTr="00DE4C4E">
        <w:trPr>
          <w:trHeight w:val="300"/>
        </w:trPr>
        <w:tc>
          <w:tcPr>
            <w:tcW w:w="162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1.1 Performansı %</w:t>
            </w:r>
          </w:p>
        </w:tc>
        <w:tc>
          <w:tcPr>
            <w:tcW w:w="3372"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96,71</w:t>
            </w:r>
          </w:p>
        </w:tc>
      </w:tr>
      <w:tr w:rsidR="00DE4C4E" w:rsidRPr="00DE4C4E" w:rsidTr="00DE4C4E">
        <w:trPr>
          <w:trHeight w:val="300"/>
        </w:trPr>
        <w:tc>
          <w:tcPr>
            <w:tcW w:w="162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Sorumlu Birim</w:t>
            </w:r>
          </w:p>
        </w:tc>
        <w:tc>
          <w:tcPr>
            <w:tcW w:w="3372"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Araştırma Planlama Rektör Yardımcılığı</w:t>
            </w:r>
          </w:p>
        </w:tc>
      </w:tr>
      <w:tr w:rsidR="00DE4C4E" w:rsidRPr="00DE4C4E" w:rsidTr="00DE4C4E">
        <w:trPr>
          <w:trHeight w:val="300"/>
        </w:trPr>
        <w:tc>
          <w:tcPr>
            <w:tcW w:w="1628" w:type="pct"/>
            <w:tcBorders>
              <w:top w:val="nil"/>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w:t>
            </w:r>
          </w:p>
        </w:tc>
        <w:tc>
          <w:tcPr>
            <w:tcW w:w="3372" w:type="pct"/>
            <w:gridSpan w:val="5"/>
            <w:tcBorders>
              <w:top w:val="single" w:sz="8" w:space="0" w:color="D9D9D9"/>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w:t>
            </w:r>
          </w:p>
        </w:tc>
      </w:tr>
      <w:tr w:rsidR="00DE4C4E" w:rsidRPr="00DE4C4E" w:rsidTr="00DE4C4E">
        <w:trPr>
          <w:trHeight w:val="1152"/>
        </w:trPr>
        <w:tc>
          <w:tcPr>
            <w:tcW w:w="162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xml:space="preserve">2023 Yılsonu Gerçekleşme </w:t>
            </w:r>
          </w:p>
        </w:tc>
        <w:tc>
          <w:tcPr>
            <w:tcW w:w="732"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Performans (%)</w:t>
            </w:r>
          </w:p>
        </w:tc>
      </w:tr>
      <w:tr w:rsidR="00DE4C4E" w:rsidRPr="00DE4C4E" w:rsidTr="00DE4C4E">
        <w:trPr>
          <w:trHeight w:val="300"/>
        </w:trPr>
        <w:tc>
          <w:tcPr>
            <w:tcW w:w="162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1.1.1 Doktora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3.246,00</w:t>
            </w:r>
          </w:p>
        </w:tc>
        <w:tc>
          <w:tcPr>
            <w:tcW w:w="73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3.615,00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2.973,00</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82,24 </w:t>
            </w:r>
          </w:p>
        </w:tc>
      </w:tr>
      <w:tr w:rsidR="00DE4C4E" w:rsidRPr="00DE4C4E" w:rsidTr="00DE4C4E">
        <w:trPr>
          <w:trHeight w:val="62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mevcut doktora öğrenci sayımız 2024 yılı hedefimize çok yakın gerçekleşmiştir. Yılsonu hedefine ulaşılacağı öngörülmektedir.</w:t>
            </w:r>
          </w:p>
        </w:tc>
      </w:tr>
      <w:tr w:rsidR="00DE4C4E" w:rsidRPr="00DE4C4E" w:rsidTr="00DE4C4E">
        <w:trPr>
          <w:trHeight w:val="804"/>
        </w:trPr>
        <w:tc>
          <w:tcPr>
            <w:tcW w:w="162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1.1.2 Doktora öğrenci sayısının toplam öğrenci sayısına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0,077</w:t>
            </w:r>
          </w:p>
        </w:tc>
        <w:tc>
          <w:tcPr>
            <w:tcW w:w="73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0,0861</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0,074</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85,95 </w:t>
            </w:r>
          </w:p>
        </w:tc>
      </w:tr>
      <w:tr w:rsidR="00DE4C4E" w:rsidRPr="00DE4C4E" w:rsidTr="00DE4C4E">
        <w:trPr>
          <w:trHeight w:val="57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doktora öğrenci sayısının toplam öğrenci sayısınaoranı yılsonu hedefine çok yakın gerçekleşmiştir. Yılsonu hedefine ulaşılacağı öngörülmektedir.</w:t>
            </w:r>
          </w:p>
        </w:tc>
      </w:tr>
      <w:tr w:rsidR="00DE4C4E" w:rsidRPr="00DE4C4E" w:rsidTr="00DE4C4E">
        <w:trPr>
          <w:trHeight w:val="804"/>
        </w:trPr>
        <w:tc>
          <w:tcPr>
            <w:tcW w:w="162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PG 1.1.3 Uluslararası endekslerde yer alan bilimsel yayın (Q1,Q2,Q3,Q4) sayısı </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1.676,00</w:t>
            </w:r>
          </w:p>
        </w:tc>
        <w:tc>
          <w:tcPr>
            <w:tcW w:w="73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1.625,00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1.046,00</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64,37 </w:t>
            </w:r>
          </w:p>
        </w:tc>
      </w:tr>
      <w:tr w:rsidR="00DE4C4E" w:rsidRPr="00DE4C4E" w:rsidTr="00DE4C4E">
        <w:trPr>
          <w:trHeight w:val="86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Uluslararası endekslerde yer alan bilimsel yayın (Q1,Q2,Q3,Q4) sayısı hedefin %64,37'si şeklinde gerçekleşmiştir. Yılsonu hedefine ulaşılacağı öngörülmektedir.</w:t>
            </w:r>
          </w:p>
        </w:tc>
      </w:tr>
      <w:tr w:rsidR="00DE4C4E" w:rsidRPr="00DE4C4E" w:rsidTr="00DE4C4E">
        <w:trPr>
          <w:trHeight w:val="804"/>
        </w:trPr>
        <w:tc>
          <w:tcPr>
            <w:tcW w:w="162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1.1.4 BAP Koordinasyon Birimi tarafından desteklenen projelerin toplam bütçesi</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41.845.598,42</w:t>
            </w:r>
          </w:p>
        </w:tc>
        <w:tc>
          <w:tcPr>
            <w:tcW w:w="73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24.000.000,00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46.407.886,44</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193,37 </w:t>
            </w:r>
          </w:p>
        </w:tc>
      </w:tr>
      <w:tr w:rsidR="00DE4C4E" w:rsidRPr="00DE4C4E" w:rsidTr="00DE4C4E">
        <w:trPr>
          <w:trHeight w:val="79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 BAP Koordinasyon Birimi tarafından desteklenen projelerin toplam bütçe gerçekleşmesi yaşanan kur dalgalanmaları ve enflasyonist maliyet artışlarından dolayı ek bütçeler ile ilk 6 ayda hedefin üzerinde gerçekleşmiştir.</w:t>
            </w:r>
          </w:p>
        </w:tc>
      </w:tr>
      <w:tr w:rsidR="00DE4C4E" w:rsidRPr="00DE4C4E" w:rsidTr="00DE4C4E">
        <w:trPr>
          <w:trHeight w:val="1068"/>
        </w:trPr>
        <w:tc>
          <w:tcPr>
            <w:tcW w:w="162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1.1.5 Ulusal/Uluslararası kuruluşlar tarafından desteklenen Ar-Ge projesi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67</w:t>
            </w:r>
          </w:p>
        </w:tc>
        <w:tc>
          <w:tcPr>
            <w:tcW w:w="73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73</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27,40 </w:t>
            </w:r>
          </w:p>
        </w:tc>
      </w:tr>
      <w:tr w:rsidR="00DE4C4E" w:rsidRPr="00DE4C4E" w:rsidTr="00DE4C4E">
        <w:trPr>
          <w:trHeight w:val="57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Ulusal/Uluslararası kuruluşlar tarafından desteklenen AR-GE projesi sayısı 2023 yılı hedefinin %27,40'si şeklinde gerçekleşmiştir.</w:t>
            </w:r>
          </w:p>
        </w:tc>
      </w:tr>
      <w:tr w:rsidR="00DE4C4E" w:rsidRPr="00DE4C4E" w:rsidTr="00DE4C4E">
        <w:trPr>
          <w:trHeight w:val="804"/>
        </w:trPr>
        <w:tc>
          <w:tcPr>
            <w:tcW w:w="162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1.1.6 Ar-Ge'ye harcanan bütçenin toplam bütçeye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0,15</w:t>
            </w:r>
          </w:p>
        </w:tc>
        <w:tc>
          <w:tcPr>
            <w:tcW w:w="73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0,31</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0,1</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32,26 </w:t>
            </w:r>
          </w:p>
        </w:tc>
      </w:tr>
      <w:tr w:rsidR="00DE4C4E" w:rsidRPr="00DE4C4E" w:rsidTr="00DE4C4E">
        <w:trPr>
          <w:trHeight w:val="118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AR-GE'ye harcanan bütçenin toplam bütçeye oranı (%) yılsonu hedefinin %32,26'ı şeklinde gerçekleşmiştir. Söz konusu gösterge verisi; Merkezi Bütçeden, Döner Sermaye'den, mevcut tüm Projelerden ve Teknopark üzerinden Üniversitemize yapılan Ar-Geharcamaları dikkate alınarak hesaplanmaktadır.</w:t>
            </w:r>
          </w:p>
        </w:tc>
      </w:tr>
    </w:tbl>
    <w:p w:rsidR="00DE4C4E" w:rsidRDefault="00DE4C4E">
      <w:r>
        <w:br w:type="page"/>
      </w:r>
    </w:p>
    <w:tbl>
      <w:tblPr>
        <w:tblW w:w="5006" w:type="pct"/>
        <w:tblCellMar>
          <w:left w:w="70" w:type="dxa"/>
          <w:right w:w="70" w:type="dxa"/>
        </w:tblCellMar>
        <w:tblLook w:val="04A0" w:firstRow="1" w:lastRow="0" w:firstColumn="1" w:lastColumn="0" w:noHBand="0" w:noVBand="1"/>
      </w:tblPr>
      <w:tblGrid>
        <w:gridCol w:w="2515"/>
        <w:gridCol w:w="849"/>
        <w:gridCol w:w="1526"/>
        <w:gridCol w:w="1407"/>
        <w:gridCol w:w="1544"/>
        <w:gridCol w:w="1222"/>
      </w:tblGrid>
      <w:tr w:rsidR="00DE4C4E" w:rsidRPr="00DE4C4E" w:rsidTr="00DE4C4E">
        <w:trPr>
          <w:trHeight w:val="300"/>
        </w:trPr>
        <w:tc>
          <w:tcPr>
            <w:tcW w:w="1388"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lastRenderedPageBreak/>
              <w:t xml:space="preserve">Amaç 1. </w:t>
            </w:r>
          </w:p>
        </w:tc>
        <w:tc>
          <w:tcPr>
            <w:tcW w:w="3612"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Araştırma ve Geliştirmede Öncü Üniversite Olmak</w:t>
            </w:r>
          </w:p>
        </w:tc>
      </w:tr>
      <w:tr w:rsidR="00DE4C4E" w:rsidRPr="00DE4C4E" w:rsidTr="00DE4C4E">
        <w:trPr>
          <w:trHeight w:val="300"/>
        </w:trPr>
        <w:tc>
          <w:tcPr>
            <w:tcW w:w="138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1.2</w:t>
            </w:r>
          </w:p>
        </w:tc>
        <w:tc>
          <w:tcPr>
            <w:tcW w:w="3612" w:type="pct"/>
            <w:gridSpan w:val="5"/>
            <w:tcBorders>
              <w:top w:val="single" w:sz="8" w:space="0" w:color="D9D9D9"/>
              <w:left w:val="nil"/>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AR-GE Çalışmalarının Ticari Değere Dönüştürmek</w:t>
            </w:r>
          </w:p>
        </w:tc>
      </w:tr>
      <w:tr w:rsidR="00DE4C4E" w:rsidRPr="00DE4C4E" w:rsidTr="00DE4C4E">
        <w:trPr>
          <w:trHeight w:val="300"/>
        </w:trPr>
        <w:tc>
          <w:tcPr>
            <w:tcW w:w="138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1.2 Performansı %</w:t>
            </w:r>
          </w:p>
        </w:tc>
        <w:tc>
          <w:tcPr>
            <w:tcW w:w="3612"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57,47</w:t>
            </w:r>
          </w:p>
        </w:tc>
      </w:tr>
      <w:tr w:rsidR="00DE4C4E" w:rsidRPr="00DE4C4E" w:rsidTr="00DE4C4E">
        <w:trPr>
          <w:trHeight w:val="300"/>
        </w:trPr>
        <w:tc>
          <w:tcPr>
            <w:tcW w:w="138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Sorumlu Birim</w:t>
            </w:r>
          </w:p>
        </w:tc>
        <w:tc>
          <w:tcPr>
            <w:tcW w:w="3612"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Araştırma Planlama Rektör Yardımcılığı</w:t>
            </w:r>
          </w:p>
        </w:tc>
      </w:tr>
      <w:tr w:rsidR="00DE4C4E" w:rsidRPr="00DE4C4E" w:rsidTr="00DE4C4E">
        <w:trPr>
          <w:trHeight w:val="121"/>
        </w:trPr>
        <w:tc>
          <w:tcPr>
            <w:tcW w:w="1388" w:type="pct"/>
            <w:tcBorders>
              <w:top w:val="nil"/>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p>
        </w:tc>
        <w:tc>
          <w:tcPr>
            <w:tcW w:w="3612" w:type="pct"/>
            <w:gridSpan w:val="5"/>
            <w:tcBorders>
              <w:top w:val="single" w:sz="8" w:space="0" w:color="D9D9D9"/>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p>
        </w:tc>
      </w:tr>
      <w:tr w:rsidR="00DE4C4E" w:rsidRPr="00DE4C4E" w:rsidTr="00DE4C4E">
        <w:trPr>
          <w:trHeight w:val="768"/>
        </w:trPr>
        <w:tc>
          <w:tcPr>
            <w:tcW w:w="1388"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Gösterge Adı</w:t>
            </w:r>
          </w:p>
        </w:tc>
        <w:tc>
          <w:tcPr>
            <w:tcW w:w="468"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Hedefe Etkisi (%)</w:t>
            </w:r>
          </w:p>
        </w:tc>
        <w:tc>
          <w:tcPr>
            <w:tcW w:w="842"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2023 Yılsonu Gerçekleşme</w:t>
            </w:r>
          </w:p>
        </w:tc>
        <w:tc>
          <w:tcPr>
            <w:tcW w:w="776"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2024 Yılsonu Hedefi</w:t>
            </w:r>
          </w:p>
        </w:tc>
        <w:tc>
          <w:tcPr>
            <w:tcW w:w="852"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xml:space="preserve">2024 1.6 Ay (Haziran Sonu) Gerçekleşme </w:t>
            </w:r>
          </w:p>
        </w:tc>
        <w:tc>
          <w:tcPr>
            <w:tcW w:w="674"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Performans (%)</w:t>
            </w:r>
          </w:p>
        </w:tc>
      </w:tr>
      <w:tr w:rsidR="00DE4C4E" w:rsidRPr="00DE4C4E" w:rsidTr="00DE4C4E">
        <w:trPr>
          <w:trHeight w:val="1068"/>
        </w:trPr>
        <w:tc>
          <w:tcPr>
            <w:tcW w:w="138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1.2.1 Ulusal/ Uluslararası patent, faydalı model ve endüstriyel tasarım başvuru sayısı</w:t>
            </w:r>
          </w:p>
        </w:tc>
        <w:tc>
          <w:tcPr>
            <w:tcW w:w="468"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15</w:t>
            </w:r>
          </w:p>
        </w:tc>
        <w:tc>
          <w:tcPr>
            <w:tcW w:w="8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177</w:t>
            </w:r>
          </w:p>
        </w:tc>
        <w:tc>
          <w:tcPr>
            <w:tcW w:w="77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172</w:t>
            </w:r>
          </w:p>
        </w:tc>
        <w:tc>
          <w:tcPr>
            <w:tcW w:w="85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29</w:t>
            </w:r>
          </w:p>
        </w:tc>
        <w:tc>
          <w:tcPr>
            <w:tcW w:w="67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16,86 </w:t>
            </w:r>
          </w:p>
        </w:tc>
      </w:tr>
      <w:tr w:rsidR="00DE4C4E" w:rsidRPr="00DE4C4E" w:rsidTr="00DE4C4E">
        <w:trPr>
          <w:trHeight w:val="82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Açıklama: 2024 yılı 1.6 aylık dönemde Ulusal/ Uluslararası patent, faydalı model ve endüstriyel tasarım başvuru sayısı 2024 yılı hedefinin %16,86'sı gerçekleşmiştir. Bu gösterge gerçekleşmesi yılsonuna doğru ivme kazanmaktadır. </w:t>
            </w:r>
          </w:p>
        </w:tc>
      </w:tr>
      <w:tr w:rsidR="00DE4C4E" w:rsidRPr="00DE4C4E" w:rsidTr="00DE4C4E">
        <w:trPr>
          <w:trHeight w:val="1068"/>
        </w:trPr>
        <w:tc>
          <w:tcPr>
            <w:tcW w:w="138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1.2.2 Tescillenen ulusal/uluslararası patent, faydalı model ve endüstriyel tasarım sayısı</w:t>
            </w:r>
          </w:p>
        </w:tc>
        <w:tc>
          <w:tcPr>
            <w:tcW w:w="468"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8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41</w:t>
            </w:r>
          </w:p>
        </w:tc>
        <w:tc>
          <w:tcPr>
            <w:tcW w:w="77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45</w:t>
            </w:r>
          </w:p>
        </w:tc>
        <w:tc>
          <w:tcPr>
            <w:tcW w:w="85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14</w:t>
            </w:r>
          </w:p>
        </w:tc>
        <w:tc>
          <w:tcPr>
            <w:tcW w:w="67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31,11 </w:t>
            </w:r>
          </w:p>
        </w:tc>
      </w:tr>
      <w:tr w:rsidR="00DE4C4E" w:rsidRPr="00DE4C4E" w:rsidTr="00DE4C4E">
        <w:trPr>
          <w:trHeight w:val="86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Açıklama: 2024 yılı 1.6 aylık dönemde Tescillenen ulusal/uluslararası patent, faydalı model ve endüstriyel tasarım sayısı 2024 yılı hedefinin %31,11'i şeklinde gerçekleşmiştir. Bu gösterge gerçekleşmesi yılsonuna doğru ivme kazanmaktadır. </w:t>
            </w:r>
          </w:p>
        </w:tc>
      </w:tr>
      <w:tr w:rsidR="00DE4C4E" w:rsidRPr="00DE4C4E" w:rsidTr="00DE4C4E">
        <w:trPr>
          <w:trHeight w:val="804"/>
        </w:trPr>
        <w:tc>
          <w:tcPr>
            <w:tcW w:w="138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1.2.3 Lisanslanan/ ticarileştirilen fikri sınai mülkiyet ürün sayısı</w:t>
            </w:r>
          </w:p>
        </w:tc>
        <w:tc>
          <w:tcPr>
            <w:tcW w:w="468"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8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33</w:t>
            </w:r>
          </w:p>
        </w:tc>
        <w:tc>
          <w:tcPr>
            <w:tcW w:w="77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12</w:t>
            </w:r>
          </w:p>
        </w:tc>
        <w:tc>
          <w:tcPr>
            <w:tcW w:w="85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w:t>
            </w:r>
          </w:p>
        </w:tc>
        <w:tc>
          <w:tcPr>
            <w:tcW w:w="67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33,33 </w:t>
            </w:r>
          </w:p>
        </w:tc>
      </w:tr>
      <w:tr w:rsidR="00DE4C4E" w:rsidRPr="00DE4C4E" w:rsidTr="00DE4C4E">
        <w:trPr>
          <w:trHeight w:val="99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Açıklama: 2024 yılı 1.6 aylık dönemde henüz lisanslanan/ticarileştirilen fikri sınai mülkiyet ürün sayısı 2024 yılı hedefinin %33,33'ü şeklinde gerçekleşmiştir.. Bu gösterge gerçekleşmesi yılsonuna doğru ivme kazanmaktadır. Bu nedenle yılsonunda hedefe ulaşılacağı öngörülmektedir. </w:t>
            </w:r>
          </w:p>
        </w:tc>
      </w:tr>
      <w:tr w:rsidR="00DE4C4E" w:rsidRPr="00DE4C4E" w:rsidTr="00DE4C4E">
        <w:trPr>
          <w:trHeight w:val="1596"/>
        </w:trPr>
        <w:tc>
          <w:tcPr>
            <w:tcW w:w="138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1.2.4 Teknopark/Kuluçka Merkezi/ TEKMER'de ortak veya sahip olduğu ya da Teknogirişim desteği ile kurulmuş öğrenci/ mezun/ akademisyen şirketleri sayısı</w:t>
            </w:r>
          </w:p>
        </w:tc>
        <w:tc>
          <w:tcPr>
            <w:tcW w:w="468"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8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184</w:t>
            </w:r>
          </w:p>
        </w:tc>
        <w:tc>
          <w:tcPr>
            <w:tcW w:w="77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268</w:t>
            </w:r>
          </w:p>
        </w:tc>
        <w:tc>
          <w:tcPr>
            <w:tcW w:w="85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201</w:t>
            </w:r>
          </w:p>
        </w:tc>
        <w:tc>
          <w:tcPr>
            <w:tcW w:w="67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75,00 </w:t>
            </w:r>
          </w:p>
        </w:tc>
      </w:tr>
      <w:tr w:rsidR="00DE4C4E" w:rsidRPr="00DE4C4E" w:rsidTr="00DE4C4E">
        <w:trPr>
          <w:trHeight w:val="97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Teknopark/Kuluçka Merkezi/ TEKMER'deortak veya sahip olduğu yada Teknogirişimdesteği ile kurulmuş öğrenci/mezun/akademisyen şirketleri sayısı 2024 yılsonu hedefine çok yakın gerçekleşmiştir. Yılsonunda hedefe ulaşılacağı öngörülmektedir.</w:t>
            </w:r>
          </w:p>
        </w:tc>
      </w:tr>
      <w:tr w:rsidR="00DE4C4E" w:rsidRPr="00DE4C4E" w:rsidTr="00DE4C4E">
        <w:trPr>
          <w:trHeight w:val="1068"/>
        </w:trPr>
        <w:tc>
          <w:tcPr>
            <w:tcW w:w="1388"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1.2.5 Girişim sermayesi / risk sermayesi fonlarından Teknopark şirketlerimize sağlanan yatırım miktarları</w:t>
            </w:r>
          </w:p>
        </w:tc>
        <w:tc>
          <w:tcPr>
            <w:tcW w:w="468"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25</w:t>
            </w:r>
          </w:p>
        </w:tc>
        <w:tc>
          <w:tcPr>
            <w:tcW w:w="8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659.445.919,00</w:t>
            </w:r>
          </w:p>
        </w:tc>
        <w:tc>
          <w:tcPr>
            <w:tcW w:w="77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18"/>
                <w:szCs w:val="18"/>
                <w:lang w:eastAsia="tr-TR"/>
              </w:rPr>
            </w:pPr>
            <w:r w:rsidRPr="00DE4C4E">
              <w:rPr>
                <w:rFonts w:ascii="Century Gothic" w:eastAsia="Times New Roman" w:hAnsi="Century Gothic" w:cs="Calibri"/>
                <w:color w:val="000000"/>
                <w:sz w:val="18"/>
                <w:szCs w:val="18"/>
                <w:lang w:eastAsia="tr-TR"/>
              </w:rPr>
              <w:t>120.000.000,00</w:t>
            </w:r>
          </w:p>
        </w:tc>
        <w:tc>
          <w:tcPr>
            <w:tcW w:w="85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129.866.110,00</w:t>
            </w:r>
          </w:p>
        </w:tc>
        <w:tc>
          <w:tcPr>
            <w:tcW w:w="67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108,22 </w:t>
            </w:r>
          </w:p>
        </w:tc>
      </w:tr>
      <w:tr w:rsidR="00DE4C4E" w:rsidRPr="00DE4C4E" w:rsidTr="00DE4C4E">
        <w:trPr>
          <w:trHeight w:val="75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Girişim sermayesi / risk sermayesi fonlarından Teknopark şirketlerimize sağlanan yatırım miktarları  2024 yılı hedefinin üzerinde gerçekleşmiştir.</w:t>
            </w:r>
          </w:p>
        </w:tc>
      </w:tr>
    </w:tbl>
    <w:p w:rsidR="00DE4C4E" w:rsidRDefault="00DE4C4E"/>
    <w:p w:rsidR="00DE4C4E" w:rsidRDefault="00DE4C4E"/>
    <w:tbl>
      <w:tblPr>
        <w:tblW w:w="5336" w:type="pct"/>
        <w:tblCellMar>
          <w:left w:w="70" w:type="dxa"/>
          <w:right w:w="70" w:type="dxa"/>
        </w:tblCellMar>
        <w:tblLook w:val="04A0" w:firstRow="1" w:lastRow="0" w:firstColumn="1" w:lastColumn="0" w:noHBand="0" w:noVBand="1"/>
      </w:tblPr>
      <w:tblGrid>
        <w:gridCol w:w="3151"/>
        <w:gridCol w:w="860"/>
        <w:gridCol w:w="1520"/>
        <w:gridCol w:w="1416"/>
        <w:gridCol w:w="1480"/>
        <w:gridCol w:w="1233"/>
      </w:tblGrid>
      <w:tr w:rsidR="00DE4C4E" w:rsidRPr="00DE4C4E" w:rsidTr="00DE4C4E">
        <w:trPr>
          <w:trHeight w:val="300"/>
        </w:trPr>
        <w:tc>
          <w:tcPr>
            <w:tcW w:w="1631"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xml:space="preserve">Amaç 1. </w:t>
            </w:r>
          </w:p>
        </w:tc>
        <w:tc>
          <w:tcPr>
            <w:tcW w:w="3369"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Araştırma ve Geliştirmede Öncü Üniversite Olmak</w:t>
            </w:r>
          </w:p>
        </w:tc>
      </w:tr>
      <w:tr w:rsidR="00DE4C4E" w:rsidRPr="00DE4C4E" w:rsidTr="00DE4C4E">
        <w:trPr>
          <w:trHeight w:val="492"/>
        </w:trPr>
        <w:tc>
          <w:tcPr>
            <w:tcW w:w="1631"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1.3</w:t>
            </w:r>
          </w:p>
        </w:tc>
        <w:tc>
          <w:tcPr>
            <w:tcW w:w="3369" w:type="pct"/>
            <w:gridSpan w:val="5"/>
            <w:tcBorders>
              <w:top w:val="single" w:sz="8" w:space="0" w:color="D9D9D9"/>
              <w:left w:val="nil"/>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Ülkemizin Bilgi Birikiminin Artırılmasına ve Teknolojik Gelişimine Katkıda Bulunmak Üzere Araştırma Altyapılarını Kurmak ve Kapasitelerini Güçlendirmek</w:t>
            </w:r>
          </w:p>
        </w:tc>
      </w:tr>
      <w:tr w:rsidR="00DE4C4E" w:rsidRPr="00DE4C4E" w:rsidTr="00DE4C4E">
        <w:trPr>
          <w:trHeight w:val="300"/>
        </w:trPr>
        <w:tc>
          <w:tcPr>
            <w:tcW w:w="1631"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1.3 Performansı %</w:t>
            </w:r>
          </w:p>
        </w:tc>
        <w:tc>
          <w:tcPr>
            <w:tcW w:w="3369"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108,15</w:t>
            </w:r>
          </w:p>
        </w:tc>
      </w:tr>
      <w:tr w:rsidR="00DE4C4E" w:rsidRPr="00DE4C4E" w:rsidTr="00DE4C4E">
        <w:trPr>
          <w:trHeight w:val="300"/>
        </w:trPr>
        <w:tc>
          <w:tcPr>
            <w:tcW w:w="1631"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Sorumlu Birim</w:t>
            </w:r>
          </w:p>
        </w:tc>
        <w:tc>
          <w:tcPr>
            <w:tcW w:w="3369"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Araştırma Planlama Rektör Yardımcılığı</w:t>
            </w:r>
          </w:p>
        </w:tc>
      </w:tr>
      <w:tr w:rsidR="00DE4C4E" w:rsidRPr="00DE4C4E" w:rsidTr="00DE4C4E">
        <w:trPr>
          <w:trHeight w:val="144"/>
        </w:trPr>
        <w:tc>
          <w:tcPr>
            <w:tcW w:w="1631" w:type="pct"/>
            <w:tcBorders>
              <w:top w:val="nil"/>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w:t>
            </w:r>
          </w:p>
        </w:tc>
        <w:tc>
          <w:tcPr>
            <w:tcW w:w="3369" w:type="pct"/>
            <w:gridSpan w:val="5"/>
            <w:tcBorders>
              <w:top w:val="single" w:sz="8" w:space="0" w:color="D9D9D9"/>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w:t>
            </w:r>
          </w:p>
        </w:tc>
      </w:tr>
      <w:tr w:rsidR="00DE4C4E" w:rsidRPr="00DE4C4E" w:rsidTr="00DE4C4E">
        <w:trPr>
          <w:trHeight w:val="768"/>
        </w:trPr>
        <w:tc>
          <w:tcPr>
            <w:tcW w:w="1631"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xml:space="preserve">2023 Yılsonu Gerçekleşme </w:t>
            </w:r>
          </w:p>
        </w:tc>
        <w:tc>
          <w:tcPr>
            <w:tcW w:w="733"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xml:space="preserve">2024 1.6 Ay (Haziran Sonu) Gerçekleşme </w:t>
            </w:r>
          </w:p>
        </w:tc>
        <w:tc>
          <w:tcPr>
            <w:tcW w:w="637"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Performans (%)</w:t>
            </w:r>
          </w:p>
        </w:tc>
      </w:tr>
      <w:tr w:rsidR="00DE4C4E" w:rsidRPr="00DE4C4E" w:rsidTr="00DE4C4E">
        <w:trPr>
          <w:trHeight w:val="540"/>
        </w:trPr>
        <w:tc>
          <w:tcPr>
            <w:tcW w:w="1631"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1.3.1 Araştırma altyapıları için alınan kurum dışı fon</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96.838.594,27</w:t>
            </w:r>
          </w:p>
        </w:tc>
        <w:tc>
          <w:tcPr>
            <w:tcW w:w="733"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65.000.000,00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58.990.479,43</w:t>
            </w:r>
          </w:p>
        </w:tc>
        <w:tc>
          <w:tcPr>
            <w:tcW w:w="63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90,75 </w:t>
            </w:r>
          </w:p>
        </w:tc>
      </w:tr>
      <w:tr w:rsidR="00DE4C4E" w:rsidRPr="00DE4C4E" w:rsidTr="00DE4C4E">
        <w:trPr>
          <w:trHeight w:val="58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w:t>
            </w:r>
            <w:r>
              <w:rPr>
                <w:rFonts w:ascii="Century Gothic" w:eastAsia="Times New Roman" w:hAnsi="Century Gothic" w:cs="Calibri"/>
                <w:color w:val="000000"/>
                <w:sz w:val="20"/>
                <w:szCs w:val="20"/>
                <w:lang w:eastAsia="tr-TR"/>
              </w:rPr>
              <w:t xml:space="preserve">a: 2024 yılı 1.6 aylık dönemde </w:t>
            </w:r>
            <w:r w:rsidRPr="00DE4C4E">
              <w:rPr>
                <w:rFonts w:ascii="Century Gothic" w:eastAsia="Times New Roman" w:hAnsi="Century Gothic" w:cs="Calibri"/>
                <w:color w:val="000000"/>
                <w:sz w:val="20"/>
                <w:szCs w:val="20"/>
                <w:lang w:eastAsia="tr-TR"/>
              </w:rPr>
              <w:t>Araştırma altyapıları için alınan kurum dışı fonlar 2024 yılı hedefine çok yakın gerçekleşmiştir. Yılsonunda hedefe ulaşılacağı öngörülmektedir.</w:t>
            </w:r>
          </w:p>
        </w:tc>
      </w:tr>
      <w:tr w:rsidR="00DE4C4E" w:rsidRPr="00DE4C4E" w:rsidTr="00DE4C4E">
        <w:trPr>
          <w:trHeight w:val="804"/>
        </w:trPr>
        <w:tc>
          <w:tcPr>
            <w:tcW w:w="1631"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1.3.2 Araştırma altyapıları için yapılan kurum içi yatırım bütçesi</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30.860.000,00</w:t>
            </w:r>
          </w:p>
        </w:tc>
        <w:tc>
          <w:tcPr>
            <w:tcW w:w="733"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17.500.000,00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46.501.800,00</w:t>
            </w:r>
          </w:p>
        </w:tc>
        <w:tc>
          <w:tcPr>
            <w:tcW w:w="63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265,72 </w:t>
            </w:r>
          </w:p>
        </w:tc>
      </w:tr>
      <w:tr w:rsidR="00DE4C4E" w:rsidRPr="00DE4C4E" w:rsidTr="00DE4C4E">
        <w:trPr>
          <w:trHeight w:val="57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w:t>
            </w:r>
            <w:r>
              <w:rPr>
                <w:rFonts w:ascii="Century Gothic" w:eastAsia="Times New Roman" w:hAnsi="Century Gothic" w:cs="Calibri"/>
                <w:color w:val="000000"/>
                <w:sz w:val="20"/>
                <w:szCs w:val="20"/>
                <w:lang w:eastAsia="tr-TR"/>
              </w:rPr>
              <w:t>ma: 2024 yılı 1.6 aylık dönemde</w:t>
            </w:r>
            <w:r w:rsidRPr="00DE4C4E">
              <w:rPr>
                <w:rFonts w:ascii="Century Gothic" w:eastAsia="Times New Roman" w:hAnsi="Century Gothic" w:cs="Calibri"/>
                <w:color w:val="000000"/>
                <w:sz w:val="20"/>
                <w:szCs w:val="20"/>
                <w:lang w:eastAsia="tr-TR"/>
              </w:rPr>
              <w:t xml:space="preserve"> Araştırma altyapıları için yapılan kurum içi yatırım bütçesi 2024 yılı hedefinin üzerinde gerçekleşmiştir.</w:t>
            </w:r>
          </w:p>
        </w:tc>
      </w:tr>
      <w:tr w:rsidR="00DE4C4E" w:rsidRPr="00DE4C4E" w:rsidTr="00DE4C4E">
        <w:trPr>
          <w:trHeight w:val="1068"/>
        </w:trPr>
        <w:tc>
          <w:tcPr>
            <w:tcW w:w="1631"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1.3.3 Araştırma altyapı desteği ile üniversite dışına verilen hizmetlerden elde edilen gelir</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17.862.698,84</w:t>
            </w:r>
          </w:p>
        </w:tc>
        <w:tc>
          <w:tcPr>
            <w:tcW w:w="733"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32.000.000,00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14.966.241,70</w:t>
            </w:r>
          </w:p>
        </w:tc>
        <w:tc>
          <w:tcPr>
            <w:tcW w:w="63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46,77 </w:t>
            </w:r>
          </w:p>
        </w:tc>
      </w:tr>
      <w:tr w:rsidR="00DE4C4E" w:rsidRPr="00DE4C4E" w:rsidTr="00DE4C4E">
        <w:trPr>
          <w:trHeight w:val="81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w:t>
            </w:r>
            <w:r>
              <w:rPr>
                <w:rFonts w:ascii="Century Gothic" w:eastAsia="Times New Roman" w:hAnsi="Century Gothic" w:cs="Calibri"/>
                <w:color w:val="000000"/>
                <w:sz w:val="20"/>
                <w:szCs w:val="20"/>
                <w:lang w:eastAsia="tr-TR"/>
              </w:rPr>
              <w:t>ma: 2024 yılı 1.6 aylık dönemde</w:t>
            </w:r>
            <w:r w:rsidRPr="00DE4C4E">
              <w:rPr>
                <w:rFonts w:ascii="Century Gothic" w:eastAsia="Times New Roman" w:hAnsi="Century Gothic" w:cs="Calibri"/>
                <w:color w:val="000000"/>
                <w:sz w:val="20"/>
                <w:szCs w:val="20"/>
                <w:lang w:eastAsia="tr-TR"/>
              </w:rPr>
              <w:t xml:space="preserve"> Araştırma altyapı desteği ile üniversite dışına verilen hizmetlerden elde edilen gelir 2024 yılı hedefinin %46,77'si olarak gerçekleşmiştir. Yılsonunda hedefe ulaşılacağı öngörülmektedir.</w:t>
            </w:r>
          </w:p>
        </w:tc>
      </w:tr>
    </w:tbl>
    <w:p w:rsidR="00DE4C4E" w:rsidRDefault="00DE4C4E"/>
    <w:p w:rsidR="00DE4C4E" w:rsidRDefault="00DE4C4E">
      <w:r>
        <w:br w:type="page"/>
      </w:r>
    </w:p>
    <w:tbl>
      <w:tblPr>
        <w:tblW w:w="5000" w:type="pct"/>
        <w:tblCellMar>
          <w:left w:w="70" w:type="dxa"/>
          <w:right w:w="70" w:type="dxa"/>
        </w:tblCellMar>
        <w:tblLook w:val="04A0" w:firstRow="1" w:lastRow="0" w:firstColumn="1" w:lastColumn="0" w:noHBand="0" w:noVBand="1"/>
      </w:tblPr>
      <w:tblGrid>
        <w:gridCol w:w="2882"/>
        <w:gridCol w:w="849"/>
        <w:gridCol w:w="1453"/>
        <w:gridCol w:w="1195"/>
        <w:gridCol w:w="1453"/>
        <w:gridCol w:w="1220"/>
      </w:tblGrid>
      <w:tr w:rsidR="00DE4C4E" w:rsidRPr="00DE4C4E" w:rsidTr="00F80466">
        <w:trPr>
          <w:trHeight w:val="401"/>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lastRenderedPageBreak/>
              <w:t xml:space="preserve">Amaç 2.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Dijital Kapasitesi Yüksek Eğitim ve Öğretimde Öncü Üniversite Olmak</w:t>
            </w:r>
          </w:p>
        </w:tc>
      </w:tr>
      <w:tr w:rsidR="00DE4C4E" w:rsidRPr="00DE4C4E" w:rsidTr="00DE4C4E">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2.1</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Lisans ve Lisansüstü Öğretimde Tercih Edilen Üniversite Olmak</w:t>
            </w:r>
          </w:p>
        </w:tc>
      </w:tr>
      <w:tr w:rsidR="00DE4C4E" w:rsidRPr="00DE4C4E" w:rsidTr="00DE4C4E">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 2.1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97,43</w:t>
            </w:r>
          </w:p>
        </w:tc>
      </w:tr>
      <w:tr w:rsidR="00DE4C4E" w:rsidRPr="00DE4C4E" w:rsidTr="00DE4C4E">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Eğitim-Öğretim Rektör Yardımcılığı</w:t>
            </w:r>
          </w:p>
        </w:tc>
      </w:tr>
      <w:tr w:rsidR="00DE4C4E" w:rsidRPr="00DE4C4E" w:rsidTr="00F80466">
        <w:trPr>
          <w:trHeight w:val="48"/>
        </w:trPr>
        <w:tc>
          <w:tcPr>
            <w:tcW w:w="1646" w:type="pct"/>
            <w:tcBorders>
              <w:top w:val="nil"/>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p>
        </w:tc>
        <w:tc>
          <w:tcPr>
            <w:tcW w:w="3354" w:type="pct"/>
            <w:gridSpan w:val="5"/>
            <w:tcBorders>
              <w:top w:val="single" w:sz="8" w:space="0" w:color="D9D9D9"/>
              <w:left w:val="nil"/>
              <w:bottom w:val="single" w:sz="8" w:space="0" w:color="D9D9D9"/>
              <w:right w:val="nil"/>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p>
        </w:tc>
      </w:tr>
      <w:tr w:rsidR="00DE4C4E" w:rsidRPr="00DE4C4E" w:rsidTr="00DE4C4E">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2023 Yılsonu Gerçekleşme</w:t>
            </w:r>
          </w:p>
        </w:tc>
        <w:tc>
          <w:tcPr>
            <w:tcW w:w="714"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DE4C4E" w:rsidRPr="00DE4C4E" w:rsidRDefault="00DE4C4E" w:rsidP="00DE4C4E">
            <w:pPr>
              <w:spacing w:after="0" w:line="240" w:lineRule="auto"/>
              <w:jc w:val="center"/>
              <w:rPr>
                <w:rFonts w:ascii="Century Gothic" w:eastAsia="Times New Roman" w:hAnsi="Century Gothic" w:cs="Calibri"/>
                <w:b/>
                <w:bCs/>
                <w:color w:val="FFFFFF"/>
                <w:sz w:val="20"/>
                <w:szCs w:val="20"/>
                <w:lang w:eastAsia="tr-TR"/>
              </w:rPr>
            </w:pPr>
            <w:r w:rsidRPr="00DE4C4E">
              <w:rPr>
                <w:rFonts w:ascii="Century Gothic" w:eastAsia="Times New Roman" w:hAnsi="Century Gothic" w:cs="Calibri"/>
                <w:b/>
                <w:bCs/>
                <w:color w:val="FFFFFF"/>
                <w:sz w:val="20"/>
                <w:szCs w:val="20"/>
                <w:lang w:eastAsia="tr-TR"/>
              </w:rPr>
              <w:t>Performans (%)</w:t>
            </w:r>
          </w:p>
        </w:tc>
      </w:tr>
      <w:tr w:rsidR="00DE4C4E" w:rsidRPr="00DE4C4E" w:rsidTr="00F80466">
        <w:trPr>
          <w:trHeight w:val="691"/>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PG 2.1.1 Lisans öğrencilerinin ortalama taban </w:t>
            </w:r>
            <w:r w:rsidR="00F80466">
              <w:rPr>
                <w:rFonts w:ascii="Century Gothic" w:eastAsia="Times New Roman" w:hAnsi="Century Gothic" w:cs="Calibri"/>
                <w:color w:val="000000"/>
                <w:sz w:val="20"/>
                <w:szCs w:val="20"/>
                <w:lang w:eastAsia="tr-TR"/>
              </w:rPr>
              <w:t>sıralamaları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62.108,00</w:t>
            </w:r>
          </w:p>
        </w:tc>
        <w:tc>
          <w:tcPr>
            <w:tcW w:w="71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69.000,00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0,00</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   </w:t>
            </w:r>
          </w:p>
        </w:tc>
      </w:tr>
      <w:tr w:rsidR="00DE4C4E" w:rsidRPr="00DE4C4E" w:rsidTr="00DE4C4E">
        <w:trPr>
          <w:trHeight w:val="54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 gerçekleşmesi 0'dır. Çünkü öğrencilerin kesin yerleşmeleri 3.3. Aylık dönemde netleşmektedir.</w:t>
            </w:r>
          </w:p>
        </w:tc>
      </w:tr>
      <w:tr w:rsidR="00DE4C4E" w:rsidRPr="00DE4C4E" w:rsidTr="00DE4C4E">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2.1.2 Doktora/Yüksek Lisans programlarına giren öğrencilerin yüksek lisans/lisans not ortalamaları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83,24</w:t>
            </w:r>
          </w:p>
        </w:tc>
        <w:tc>
          <w:tcPr>
            <w:tcW w:w="71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79,09</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74,99 </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94,82 </w:t>
            </w:r>
          </w:p>
        </w:tc>
      </w:tr>
      <w:tr w:rsidR="00DE4C4E" w:rsidRPr="00DE4C4E" w:rsidTr="00F80466">
        <w:trPr>
          <w:trHeight w:val="473"/>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Açıklama: 2024 yılı 1.6 aylık dönem gerçekleşmesi 2024 yılı hedefinin hedefinin %94,82'si olarak gerçekleşmiştir. Enstitülere öğrenci alımları 3.3 aylık dönemde netleşecektir. </w:t>
            </w:r>
          </w:p>
        </w:tc>
      </w:tr>
      <w:tr w:rsidR="00DE4C4E" w:rsidRPr="00DE4C4E" w:rsidTr="00DE4C4E">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2.1.3 Lisansüstü programlara giren öğrencilerin ALES ortalamaları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78,97</w:t>
            </w:r>
          </w:p>
        </w:tc>
        <w:tc>
          <w:tcPr>
            <w:tcW w:w="71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81</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78,24 </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96,59 </w:t>
            </w:r>
          </w:p>
        </w:tc>
      </w:tr>
      <w:tr w:rsidR="00DE4C4E" w:rsidRPr="00DE4C4E" w:rsidTr="00F80466">
        <w:trPr>
          <w:trHeight w:val="477"/>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F80466">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gerçekleşmesi 2024 yılı hedefine çok yakın gerçekleşmiş olup,  Ensistüye</w:t>
            </w:r>
            <w:r w:rsidR="00F80466">
              <w:rPr>
                <w:rFonts w:ascii="Century Gothic" w:eastAsia="Times New Roman" w:hAnsi="Century Gothic" w:cs="Calibri"/>
                <w:color w:val="000000"/>
                <w:sz w:val="20"/>
                <w:szCs w:val="20"/>
                <w:lang w:eastAsia="tr-TR"/>
              </w:rPr>
              <w:t xml:space="preserve"> </w:t>
            </w:r>
            <w:r w:rsidRPr="00DE4C4E">
              <w:rPr>
                <w:rFonts w:ascii="Century Gothic" w:eastAsia="Times New Roman" w:hAnsi="Century Gothic" w:cs="Calibri"/>
                <w:color w:val="000000"/>
                <w:sz w:val="20"/>
                <w:szCs w:val="20"/>
                <w:lang w:eastAsia="tr-TR"/>
              </w:rPr>
              <w:t>öğrenci alımları 3</w:t>
            </w:r>
            <w:r w:rsidR="00F80466">
              <w:rPr>
                <w:rFonts w:ascii="Century Gothic" w:eastAsia="Times New Roman" w:hAnsi="Century Gothic" w:cs="Calibri"/>
                <w:color w:val="000000"/>
                <w:sz w:val="20"/>
                <w:szCs w:val="20"/>
                <w:lang w:eastAsia="tr-TR"/>
              </w:rPr>
              <w:t>.3 aylık dönemde netleşecektir.</w:t>
            </w:r>
          </w:p>
        </w:tc>
      </w:tr>
      <w:tr w:rsidR="00DE4C4E" w:rsidRPr="00DE4C4E" w:rsidTr="00DE4C4E">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2.1.4 Çift Anadal/Yandal yapan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389</w:t>
            </w:r>
          </w:p>
        </w:tc>
        <w:tc>
          <w:tcPr>
            <w:tcW w:w="71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367</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371</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101,09 </w:t>
            </w:r>
          </w:p>
        </w:tc>
      </w:tr>
      <w:tr w:rsidR="00DE4C4E" w:rsidRPr="00DE4C4E" w:rsidTr="00DE4C4E">
        <w:trPr>
          <w:trHeight w:val="62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w:t>
            </w:r>
            <w:r w:rsidR="00F80466">
              <w:rPr>
                <w:rFonts w:ascii="Century Gothic" w:eastAsia="Times New Roman" w:hAnsi="Century Gothic" w:cs="Calibri"/>
                <w:color w:val="000000"/>
                <w:sz w:val="20"/>
                <w:szCs w:val="20"/>
                <w:lang w:eastAsia="tr-TR"/>
              </w:rPr>
              <w:t xml:space="preserve">a: 2024 yılı 1.6 aylık dönemde </w:t>
            </w:r>
            <w:r w:rsidRPr="00DE4C4E">
              <w:rPr>
                <w:rFonts w:ascii="Century Gothic" w:eastAsia="Times New Roman" w:hAnsi="Century Gothic" w:cs="Calibri"/>
                <w:color w:val="000000"/>
                <w:sz w:val="20"/>
                <w:szCs w:val="20"/>
                <w:lang w:eastAsia="tr-TR"/>
              </w:rPr>
              <w:t>Çift Anadal/Yandal</w:t>
            </w:r>
            <w:r w:rsidR="00F80466">
              <w:rPr>
                <w:rFonts w:ascii="Century Gothic" w:eastAsia="Times New Roman" w:hAnsi="Century Gothic" w:cs="Calibri"/>
                <w:color w:val="000000"/>
                <w:sz w:val="20"/>
                <w:szCs w:val="20"/>
                <w:lang w:eastAsia="tr-TR"/>
              </w:rPr>
              <w:t xml:space="preserve"> </w:t>
            </w:r>
            <w:r w:rsidRPr="00DE4C4E">
              <w:rPr>
                <w:rFonts w:ascii="Century Gothic" w:eastAsia="Times New Roman" w:hAnsi="Century Gothic" w:cs="Calibri"/>
                <w:color w:val="000000"/>
                <w:sz w:val="20"/>
                <w:szCs w:val="20"/>
                <w:lang w:eastAsia="tr-TR"/>
              </w:rPr>
              <w:t>yapan öğrenci sayısı göstergesinin gerçekleşmesi 2024 yılı hedefine ulaşmıştır.</w:t>
            </w:r>
          </w:p>
        </w:tc>
      </w:tr>
      <w:tr w:rsidR="00DE4C4E" w:rsidRPr="00DE4C4E" w:rsidTr="00DE4C4E">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2.1.5 Öğrencilerin eğitim-öğretim hizmetlerinden memnuniyet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0,8239</w:t>
            </w:r>
          </w:p>
        </w:tc>
        <w:tc>
          <w:tcPr>
            <w:tcW w:w="71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0,8631</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0,8039</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93,14 </w:t>
            </w:r>
          </w:p>
        </w:tc>
      </w:tr>
      <w:tr w:rsidR="00DE4C4E" w:rsidRPr="00DE4C4E" w:rsidTr="00DE4C4E">
        <w:trPr>
          <w:trHeight w:val="91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dönemde Öğrencilerin eğitim-öğretim hizmetlerinden memnuniyet oranı (%) yılsonu gerçekleşmesine çok yakın gerçekleşmiş olmakla birlikte, yaz okulu ve güz dönemi anketleri ile 2024 hedefine ulaşılacağı öngörülmektedir.</w:t>
            </w:r>
          </w:p>
        </w:tc>
      </w:tr>
      <w:tr w:rsidR="00DE4C4E" w:rsidRPr="00DE4C4E" w:rsidTr="00DE4C4E">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2.1.6 Dış destekli projelerde görev alan (TÜBİTAK 2209 A-B, TÜBİTAK Star vb.) lisans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633</w:t>
            </w:r>
          </w:p>
        </w:tc>
        <w:tc>
          <w:tcPr>
            <w:tcW w:w="71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450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886</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196,89 </w:t>
            </w:r>
          </w:p>
        </w:tc>
      </w:tr>
      <w:tr w:rsidR="00DE4C4E" w:rsidRPr="00DE4C4E" w:rsidTr="00F80466">
        <w:trPr>
          <w:trHeight w:val="667"/>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Açıklama: 2024 yılı 1.6 aylık dönem Dış destekli projelerde görev alan (TÜBİTAK 2209 A-B, TÜBİTAK Star vb.) lisans öğrenci sayısı göstergesinin gerçekleşmesi 2024 yılı hedefinin üzerinde gerçekleşmiştir.</w:t>
            </w:r>
          </w:p>
        </w:tc>
      </w:tr>
      <w:tr w:rsidR="00DE4C4E" w:rsidRPr="00DE4C4E" w:rsidTr="00DE4C4E">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PG 2.1.7 Yıldız Teknopark firmaları ve Teknoloji Transfer Ofisinde (TTO) çalışan toplam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center"/>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356</w:t>
            </w:r>
          </w:p>
        </w:tc>
        <w:tc>
          <w:tcPr>
            <w:tcW w:w="714"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320</w:t>
            </w:r>
          </w:p>
        </w:tc>
        <w:tc>
          <w:tcPr>
            <w:tcW w:w="766"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150</w:t>
            </w:r>
          </w:p>
        </w:tc>
        <w:tc>
          <w:tcPr>
            <w:tcW w:w="642" w:type="pct"/>
            <w:tcBorders>
              <w:top w:val="nil"/>
              <w:left w:val="nil"/>
              <w:bottom w:val="single" w:sz="8" w:space="0" w:color="D9D9D9"/>
              <w:right w:val="single" w:sz="8" w:space="0" w:color="D9D9D9"/>
            </w:tcBorders>
            <w:shd w:val="clear" w:color="000000" w:fill="E7E6E6"/>
            <w:noWrap/>
            <w:vAlign w:val="center"/>
            <w:hideMark/>
          </w:tcPr>
          <w:p w:rsidR="00DE4C4E" w:rsidRPr="00DE4C4E" w:rsidRDefault="00DE4C4E" w:rsidP="00DE4C4E">
            <w:pPr>
              <w:spacing w:after="0" w:line="240" w:lineRule="auto"/>
              <w:jc w:val="right"/>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          46,88 </w:t>
            </w:r>
          </w:p>
        </w:tc>
      </w:tr>
      <w:tr w:rsidR="00DE4C4E" w:rsidRPr="00DE4C4E" w:rsidTr="00F80466">
        <w:trPr>
          <w:trHeight w:val="54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E4C4E" w:rsidRPr="00DE4C4E" w:rsidRDefault="00DE4C4E" w:rsidP="00DE4C4E">
            <w:pPr>
              <w:spacing w:after="0" w:line="240" w:lineRule="auto"/>
              <w:rPr>
                <w:rFonts w:ascii="Century Gothic" w:eastAsia="Times New Roman" w:hAnsi="Century Gothic" w:cs="Calibri"/>
                <w:color w:val="000000"/>
                <w:sz w:val="20"/>
                <w:szCs w:val="20"/>
                <w:lang w:eastAsia="tr-TR"/>
              </w:rPr>
            </w:pPr>
            <w:r w:rsidRPr="00DE4C4E">
              <w:rPr>
                <w:rFonts w:ascii="Century Gothic" w:eastAsia="Times New Roman" w:hAnsi="Century Gothic" w:cs="Calibri"/>
                <w:color w:val="000000"/>
                <w:sz w:val="20"/>
                <w:szCs w:val="20"/>
                <w:lang w:eastAsia="tr-TR"/>
              </w:rPr>
              <w:t xml:space="preserve">Açıklama: 2024 yılı 1.6 aylık dönem Yıldız Teknopark firmaları ve Teknoloji Transfer Ofisinde (TTO) çalışan toplam öğrenci sayısı göstergesinin gerçekleşmesi 2024 yılı yılsonu hedefinin %46,88'i şeklinde gerçekleşmiş olup, yılsonu hedefine ulaşacağı öngörülmektedir. </w:t>
            </w:r>
          </w:p>
        </w:tc>
      </w:tr>
    </w:tbl>
    <w:p w:rsidR="00DE4C4E" w:rsidRDefault="00DE4C4E"/>
    <w:p w:rsidR="00F80466" w:rsidRDefault="00F80466"/>
    <w:tbl>
      <w:tblPr>
        <w:tblW w:w="5000" w:type="pct"/>
        <w:tblCellMar>
          <w:left w:w="70" w:type="dxa"/>
          <w:right w:w="70" w:type="dxa"/>
        </w:tblCellMar>
        <w:tblLook w:val="04A0" w:firstRow="1" w:lastRow="0" w:firstColumn="1" w:lastColumn="0" w:noHBand="0" w:noVBand="1"/>
      </w:tblPr>
      <w:tblGrid>
        <w:gridCol w:w="2773"/>
        <w:gridCol w:w="849"/>
        <w:gridCol w:w="1453"/>
        <w:gridCol w:w="1304"/>
        <w:gridCol w:w="1453"/>
        <w:gridCol w:w="1220"/>
      </w:tblGrid>
      <w:tr w:rsidR="00F80466" w:rsidRPr="00F80466" w:rsidTr="00F80466">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Amaç 2.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Dijital Kapasitesi Yüksek Eğitim ve Öğretimde Öncü Üniversite Olmak</w:t>
            </w:r>
          </w:p>
        </w:tc>
      </w:tr>
      <w:tr w:rsidR="00F80466" w:rsidRPr="00F80466" w:rsidTr="00F80466">
        <w:trPr>
          <w:trHeight w:val="576"/>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2.2</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Yenilikçi Eğitim Modelleri, Bilgi ve Kültür Kaynakları Geliştirmek ve Erişimini Kolaylaştırmak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2.2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85,13</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Eğitim-Öğretim Rektör Yardımcılığı</w:t>
            </w:r>
          </w:p>
        </w:tc>
      </w:tr>
      <w:tr w:rsidR="00F80466" w:rsidRPr="00F80466" w:rsidTr="00F80466">
        <w:trPr>
          <w:trHeight w:val="96"/>
        </w:trPr>
        <w:tc>
          <w:tcPr>
            <w:tcW w:w="1646" w:type="pct"/>
            <w:tcBorders>
              <w:top w:val="nil"/>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c>
          <w:tcPr>
            <w:tcW w:w="3354" w:type="pct"/>
            <w:gridSpan w:val="5"/>
            <w:tcBorders>
              <w:top w:val="single" w:sz="8" w:space="0" w:color="D9D9D9"/>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r>
      <w:tr w:rsidR="00F80466" w:rsidRPr="00F80466" w:rsidTr="00F80466">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2023 Yılsonu Gerçekleşme </w:t>
            </w:r>
          </w:p>
        </w:tc>
        <w:tc>
          <w:tcPr>
            <w:tcW w:w="714"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Performans (%)</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2.2.1 İşletmede Mesleki Eğitim (KOOP) kapsamında yapılan anlaşma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64</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130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153</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117,69 </w:t>
            </w:r>
          </w:p>
        </w:tc>
      </w:tr>
      <w:tr w:rsidR="00F80466" w:rsidRPr="00F80466" w:rsidTr="00F80466">
        <w:trPr>
          <w:trHeight w:val="57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İşletmede Mesleki Eğitim (KOOP) kapsamında yapılan anlaşma sayısı göstergesinin gerçekleşmesi 2024 yılı hedefinin üzerinde gerçekleşmiştir.</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2.2.2 İşletmede Mesleki Eğitim (KOOP) kapsamında yapılan anlaşmalardan faydalanan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106</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176</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133</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75,57 </w:t>
            </w:r>
          </w:p>
        </w:tc>
      </w:tr>
      <w:tr w:rsidR="00F80466" w:rsidRPr="00F80466" w:rsidTr="00F80466">
        <w:trPr>
          <w:trHeight w:val="72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İşletmede Mesleki Eğitim (KOOP) kapsamında yapılan anlaşmalardan faydalanan öğrenci sayısı 2024 yılı hedefine yaklaşmış olup yılsonunda hedefe ulaşılacağı öngörülmektedir.</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2.2.3 Kütüphanede bulunan öğrenci başına düşen basılı ve elektronik kaynak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152,49</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154,76</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170,1374175</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109,94 </w:t>
            </w:r>
          </w:p>
        </w:tc>
      </w:tr>
      <w:tr w:rsidR="00F80466" w:rsidRPr="00F80466" w:rsidTr="00F80466">
        <w:trPr>
          <w:trHeight w:val="60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Kütüphanede bulunan öğrenci başına düşen basılı ve elektronik kaynak sayısı 2024 yılı hedefinin üzerinde gerçekleşmiştir.</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2.2.4 Kütüphaneden yararlanan kullanıcı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796.748,00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1.100.000,00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1.051.552,00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95,60 </w:t>
            </w:r>
          </w:p>
        </w:tc>
      </w:tr>
      <w:tr w:rsidR="00F80466" w:rsidRPr="00F80466" w:rsidTr="00F80466">
        <w:trPr>
          <w:trHeight w:val="61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 Kütüphaneden yararlanan kullanıcı sayısı 2024 yılı hedefine yaklaşmış olup yılsonunda hedefe ulaşılacağı öngörülmektedir.</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2.2.5 Uzaktan eğitim ile yapılan ders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8.597,00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570,00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28,50 </w:t>
            </w:r>
          </w:p>
        </w:tc>
      </w:tr>
      <w:tr w:rsidR="00F80466" w:rsidRPr="00F80466" w:rsidTr="00F80466">
        <w:trPr>
          <w:trHeight w:val="63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Açıklama: 2024 yılı 1.6 aylık dönem Uzaktan eğitim ile  yapılan ders sayısı 2024 yılı hedefinin hedefinin %28,50'si olarak gerçekleşmiştir. </w:t>
            </w:r>
          </w:p>
        </w:tc>
      </w:tr>
    </w:tbl>
    <w:p w:rsidR="00F80466" w:rsidRDefault="00F80466"/>
    <w:p w:rsidR="00F80466" w:rsidRDefault="00F80466">
      <w:pPr>
        <w:rPr>
          <w:rFonts w:ascii="Century Gothic" w:hAnsi="Century Gothic"/>
          <w:sz w:val="24"/>
          <w:szCs w:val="24"/>
        </w:rPr>
      </w:pPr>
    </w:p>
    <w:p w:rsidR="00F80466" w:rsidRDefault="00F80466">
      <w:pPr>
        <w:rPr>
          <w:rFonts w:ascii="Century Gothic" w:hAnsi="Century Gothic"/>
          <w:sz w:val="24"/>
          <w:szCs w:val="24"/>
        </w:rPr>
      </w:pPr>
    </w:p>
    <w:p w:rsidR="00F80466" w:rsidRDefault="00F80466">
      <w:pPr>
        <w:rPr>
          <w:rFonts w:ascii="Century Gothic" w:hAnsi="Century Gothic"/>
          <w:sz w:val="24"/>
          <w:szCs w:val="24"/>
        </w:rPr>
      </w:pPr>
    </w:p>
    <w:p w:rsidR="00F80466" w:rsidRDefault="00F80466">
      <w:pPr>
        <w:rPr>
          <w:rFonts w:ascii="Century Gothic" w:hAnsi="Century Gothic"/>
          <w:sz w:val="24"/>
          <w:szCs w:val="24"/>
        </w:rPr>
      </w:pPr>
    </w:p>
    <w:p w:rsidR="00F80466" w:rsidRDefault="00F80466">
      <w:pPr>
        <w:rPr>
          <w:rFonts w:ascii="Century Gothic" w:hAnsi="Century Gothic"/>
          <w:sz w:val="24"/>
          <w:szCs w:val="24"/>
        </w:rPr>
      </w:pPr>
      <w:r>
        <w:rPr>
          <w:rFonts w:ascii="Century Gothic" w:hAnsi="Century Gothic"/>
          <w:sz w:val="24"/>
          <w:szCs w:val="24"/>
        </w:rPr>
        <w:br w:type="page"/>
      </w:r>
    </w:p>
    <w:p w:rsidR="00F80466" w:rsidRDefault="00F80466">
      <w:pPr>
        <w:rPr>
          <w:rFonts w:ascii="Century Gothic" w:hAnsi="Century Gothic"/>
          <w:sz w:val="24"/>
          <w:szCs w:val="24"/>
        </w:rPr>
      </w:pPr>
    </w:p>
    <w:p w:rsidR="00F80466" w:rsidRDefault="00F80466">
      <w:pPr>
        <w:rPr>
          <w:rFonts w:ascii="Century Gothic" w:hAnsi="Century Gothic"/>
          <w:sz w:val="24"/>
          <w:szCs w:val="24"/>
        </w:rPr>
      </w:pPr>
    </w:p>
    <w:p w:rsidR="00F80466" w:rsidRDefault="00F80466">
      <w:pPr>
        <w:rPr>
          <w:rFonts w:ascii="Century Gothic" w:hAnsi="Century Gothic"/>
          <w:sz w:val="24"/>
          <w:szCs w:val="24"/>
        </w:rPr>
      </w:pPr>
    </w:p>
    <w:tbl>
      <w:tblPr>
        <w:tblW w:w="5000" w:type="pct"/>
        <w:tblCellMar>
          <w:left w:w="70" w:type="dxa"/>
          <w:right w:w="70" w:type="dxa"/>
        </w:tblCellMar>
        <w:tblLook w:val="04A0" w:firstRow="1" w:lastRow="0" w:firstColumn="1" w:lastColumn="0" w:noHBand="0" w:noVBand="1"/>
      </w:tblPr>
      <w:tblGrid>
        <w:gridCol w:w="2882"/>
        <w:gridCol w:w="849"/>
        <w:gridCol w:w="1453"/>
        <w:gridCol w:w="1195"/>
        <w:gridCol w:w="1453"/>
        <w:gridCol w:w="1220"/>
      </w:tblGrid>
      <w:tr w:rsidR="00F80466" w:rsidRPr="00F80466" w:rsidTr="00F80466">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Amaç 2.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Dijital Kapasitesi Yüksek Eğitim ve Öğretimde Öncü Üniversite Olmak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2.3</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Uluslararası Eğitim Standartlarında Eğitim-Öğretim Vermek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2.3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95,39</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Eğitim-Öğretim Rektör Yardımcılığı</w:t>
            </w:r>
          </w:p>
        </w:tc>
      </w:tr>
      <w:tr w:rsidR="00F80466" w:rsidRPr="00F80466" w:rsidTr="00F80466">
        <w:trPr>
          <w:trHeight w:val="144"/>
        </w:trPr>
        <w:tc>
          <w:tcPr>
            <w:tcW w:w="1646" w:type="pct"/>
            <w:tcBorders>
              <w:top w:val="nil"/>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c>
          <w:tcPr>
            <w:tcW w:w="3354" w:type="pct"/>
            <w:gridSpan w:val="5"/>
            <w:tcBorders>
              <w:top w:val="single" w:sz="8" w:space="0" w:color="D9D9D9"/>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r>
      <w:tr w:rsidR="00F80466" w:rsidRPr="00F80466" w:rsidTr="00F80466">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2023 Yılsonu Gerçekleşme </w:t>
            </w:r>
          </w:p>
        </w:tc>
        <w:tc>
          <w:tcPr>
            <w:tcW w:w="714"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Performans (%)</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2.3.1Akredite olan lisans program sayısının toplam program sayısına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0,64</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0,62</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0,64 </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103,23 </w:t>
            </w:r>
          </w:p>
        </w:tc>
      </w:tr>
      <w:tr w:rsidR="00F80466" w:rsidRPr="00F80466" w:rsidTr="00F80466">
        <w:trPr>
          <w:trHeight w:val="66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Akredite olan lisans program sayısının toplam program sayısına oranı 2024 yılı hedefinin üzerinde gerçekleşmiştir.</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2.3.2 Uluslararası öğrenci değişim programları kapsamında yapılan anlaşma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853</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750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763</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101,73 </w:t>
            </w:r>
          </w:p>
        </w:tc>
      </w:tr>
      <w:tr w:rsidR="00F80466" w:rsidRPr="00F80466" w:rsidTr="00F80466">
        <w:trPr>
          <w:trHeight w:val="55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Uluslararası öğrenci değişim programları kapsamında yapılan anlaşma sayısı 2024 yılı hedefinin üzerinde gerçekleşmiştir.</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2.3.3 Uluslararası öğrenci değişim programlarıyla gelen/giden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825</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800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930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116,25 </w:t>
            </w:r>
          </w:p>
        </w:tc>
      </w:tr>
      <w:tr w:rsidR="00F80466" w:rsidRPr="00F80466" w:rsidTr="00F80466">
        <w:trPr>
          <w:trHeight w:val="58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Uluslararası öğrenci değişim programlarıyla gelen/giden öğrenci sayısı 2024 yılı hedefinin üzerinde gerçekleşmiştir.</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2.3.4 Yabancı uyruklu akademisyen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11</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18</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55,56 </w:t>
            </w:r>
          </w:p>
        </w:tc>
      </w:tr>
      <w:tr w:rsidR="00F80466" w:rsidRPr="00F80466" w:rsidTr="00F80466">
        <w:trPr>
          <w:trHeight w:val="64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Yabancı uyruklu akademisyen sayısı 2024 yılı hedefinin %55,56'sı olarak gerçekleşmiştir.</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2.3.5 Yabancı uyruklu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2.464,00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2.650,00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2.357,00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88,94 </w:t>
            </w:r>
          </w:p>
        </w:tc>
      </w:tr>
      <w:tr w:rsidR="00F80466" w:rsidRPr="00F80466" w:rsidTr="00F80466">
        <w:trPr>
          <w:trHeight w:val="62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Yabancı uyruklu öğrenci sayısı 2024 yılı hedefinin %88,94'u şeklinde gerçekleşmiştir. Yılsonunda hedefe ulaşılacağı öngörülmektedir.</w:t>
            </w:r>
          </w:p>
        </w:tc>
      </w:tr>
    </w:tbl>
    <w:p w:rsidR="00897278" w:rsidRDefault="00897278" w:rsidP="00FA139E">
      <w:pPr>
        <w:jc w:val="both"/>
        <w:rPr>
          <w:rFonts w:ascii="Century Gothic" w:hAnsi="Century Gothic"/>
          <w:sz w:val="24"/>
          <w:szCs w:val="24"/>
        </w:rPr>
      </w:pPr>
    </w:p>
    <w:p w:rsidR="00897278" w:rsidRDefault="00897278"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tbl>
      <w:tblPr>
        <w:tblW w:w="5000" w:type="pct"/>
        <w:tblCellMar>
          <w:left w:w="70" w:type="dxa"/>
          <w:right w:w="70" w:type="dxa"/>
        </w:tblCellMar>
        <w:tblLook w:val="04A0" w:firstRow="1" w:lastRow="0" w:firstColumn="1" w:lastColumn="0" w:noHBand="0" w:noVBand="1"/>
      </w:tblPr>
      <w:tblGrid>
        <w:gridCol w:w="2882"/>
        <w:gridCol w:w="849"/>
        <w:gridCol w:w="1453"/>
        <w:gridCol w:w="1195"/>
        <w:gridCol w:w="1453"/>
        <w:gridCol w:w="1220"/>
      </w:tblGrid>
      <w:tr w:rsidR="00F80466" w:rsidRPr="00F80466" w:rsidTr="00F80466">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Amaç 2.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Dijital Kapasitesi Yüksek Eğitim ve Öğretimde Öncü Üniversite Olmak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2.4</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Alanında Yetkin, Araştırmacı, Bilgi Üreten ve Aktaran Akademisyenler Yetiştirmek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2.4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55,10</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Eğitim-Öğretim Rektör Yardımcılığı</w:t>
            </w:r>
          </w:p>
        </w:tc>
      </w:tr>
      <w:tr w:rsidR="00F80466" w:rsidRPr="00F80466" w:rsidTr="00F80466">
        <w:trPr>
          <w:trHeight w:val="108"/>
        </w:trPr>
        <w:tc>
          <w:tcPr>
            <w:tcW w:w="1646" w:type="pct"/>
            <w:tcBorders>
              <w:top w:val="nil"/>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c>
          <w:tcPr>
            <w:tcW w:w="3354" w:type="pct"/>
            <w:gridSpan w:val="5"/>
            <w:tcBorders>
              <w:top w:val="single" w:sz="8" w:space="0" w:color="D9D9D9"/>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r>
      <w:tr w:rsidR="00F80466" w:rsidRPr="00F80466" w:rsidTr="00F80466">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2023 Yılsonu Gerçekleşme </w:t>
            </w:r>
          </w:p>
        </w:tc>
        <w:tc>
          <w:tcPr>
            <w:tcW w:w="714"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Performans (%)</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2.4.1 SCI, SCI-Expanded, SSCI ve AHCI kapsamındaki dergilerde öğretim elemanı başına düşen yayın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1,86</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0,87 </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86,97 </w:t>
            </w:r>
          </w:p>
        </w:tc>
      </w:tr>
      <w:tr w:rsidR="00F80466" w:rsidRPr="00F80466" w:rsidTr="00F80466">
        <w:trPr>
          <w:trHeight w:val="81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.SCI, SCI-Expanded, SSCI ve AHCI kapsamındaki dergilerde öğretim elemanı başına düşen yayın sayısı 2024 yılı hedefinin %86,97'si şeklinde gerçekleşmiştir. Yılsonunda hedefe ulaşılacağı öngörülmektedir.</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2.4.2 SCI, SCI-Expanded, SSCI ve AHCI kapsamındaki dergilerde öğretim üyesi başına düşen yayın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1,7</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1,65</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1,055</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63,94 </w:t>
            </w:r>
          </w:p>
        </w:tc>
      </w:tr>
      <w:tr w:rsidR="00F80466" w:rsidRPr="00F80466" w:rsidTr="00F80466">
        <w:trPr>
          <w:trHeight w:val="84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.SCI, SCI-Expanded, SSCI ve AHCI kapsamındaki dergilerde öğretim üyesi başına düşen yayın sayısı 2024 yılı hedefinin %63,94'ü şeklinde gerçekleşmiştir. Yılsonunda hedefe ulaşılacağı öngörülmektedir.</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2.4.3 YÖK 100/2000 Doktora bursundan yararlanan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34</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65</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33</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50,77 </w:t>
            </w:r>
          </w:p>
        </w:tc>
      </w:tr>
      <w:tr w:rsidR="00F80466" w:rsidRPr="00F80466" w:rsidTr="00F80466">
        <w:trPr>
          <w:trHeight w:val="57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Açıklama: 2024 yılı 1.6 aylık dönemde YÖK 100/2000 Doktora bursundan yararlanan öğrenci sayısı 2024 yılı hedefinin %55,77'si şeklinde gerçekleşmiştir. </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2.4.4 2244 Sanayi doktora bursundan yararlanan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28</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40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14</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35,00 </w:t>
            </w:r>
          </w:p>
        </w:tc>
      </w:tr>
      <w:tr w:rsidR="00F80466" w:rsidRPr="00F80466" w:rsidTr="00F80466">
        <w:trPr>
          <w:trHeight w:val="60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Açıklama: 2024 yılı 1.6 aylık dönemde 2244 Sanayi doktora bursundan yararlanan öğrenci sayısı 2024 yılı hedefinin %35'i şeklinde gerçekleşmiştir. </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2.4.5 Yükseköğretim Kurulu, Türkiye Bilimler Akademisi ve TÜBİTAK bilim, teşvik ve sanat ödülleri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4</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3</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   </w:t>
            </w:r>
          </w:p>
        </w:tc>
      </w:tr>
      <w:tr w:rsidR="00F80466" w:rsidRPr="00F80466" w:rsidTr="00F80466">
        <w:trPr>
          <w:trHeight w:val="55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Yükseköğretim Kurulu, Türkiye Bilimler Akademisi ve TÜBİTAK bilim, teşvik ve sanat ödülleri yılsonunda açıklandığı için 1.6 aylık dönemde henüz bir gerçekleşme olmamıştır.</w:t>
            </w:r>
          </w:p>
        </w:tc>
      </w:tr>
    </w:tbl>
    <w:p w:rsidR="00F80466" w:rsidRDefault="00F80466" w:rsidP="00FA139E">
      <w:pPr>
        <w:jc w:val="both"/>
        <w:rPr>
          <w:rFonts w:ascii="Century Gothic" w:hAnsi="Century Gothic"/>
          <w:sz w:val="24"/>
          <w:szCs w:val="24"/>
        </w:rPr>
      </w:pPr>
    </w:p>
    <w:p w:rsidR="00897278" w:rsidRDefault="00897278"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tbl>
      <w:tblPr>
        <w:tblW w:w="5000" w:type="pct"/>
        <w:tblCellMar>
          <w:left w:w="70" w:type="dxa"/>
          <w:right w:w="70" w:type="dxa"/>
        </w:tblCellMar>
        <w:tblLook w:val="04A0" w:firstRow="1" w:lastRow="0" w:firstColumn="1" w:lastColumn="0" w:noHBand="0" w:noVBand="1"/>
      </w:tblPr>
      <w:tblGrid>
        <w:gridCol w:w="2773"/>
        <w:gridCol w:w="849"/>
        <w:gridCol w:w="1453"/>
        <w:gridCol w:w="1304"/>
        <w:gridCol w:w="1453"/>
        <w:gridCol w:w="1220"/>
      </w:tblGrid>
      <w:tr w:rsidR="00F80466" w:rsidRPr="00F80466" w:rsidTr="00F80466">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lastRenderedPageBreak/>
              <w:t xml:space="preserve">Amaç 2.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Dijital Kapasitesi Yüksek Eğitim ve Öğretimde Öncü Üniversite Olmak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2.5</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Öğrenci Yaşamını İyileştirmek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2.5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78,27</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Yönetim Rektör Yardımcılığı</w:t>
            </w:r>
          </w:p>
        </w:tc>
      </w:tr>
      <w:tr w:rsidR="00F80466" w:rsidRPr="00F80466" w:rsidTr="00F80466">
        <w:trPr>
          <w:trHeight w:val="67"/>
        </w:trPr>
        <w:tc>
          <w:tcPr>
            <w:tcW w:w="1646" w:type="pct"/>
            <w:tcBorders>
              <w:top w:val="nil"/>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p>
        </w:tc>
        <w:tc>
          <w:tcPr>
            <w:tcW w:w="3354" w:type="pct"/>
            <w:gridSpan w:val="5"/>
            <w:tcBorders>
              <w:top w:val="single" w:sz="8" w:space="0" w:color="D9D9D9"/>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p>
        </w:tc>
      </w:tr>
      <w:tr w:rsidR="00F80466" w:rsidRPr="00F80466" w:rsidTr="00F80466">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2023 Yılsonu Gerçekleşme</w:t>
            </w:r>
          </w:p>
        </w:tc>
        <w:tc>
          <w:tcPr>
            <w:tcW w:w="714"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Performans (%)</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2.5.1 Barınma hizmetlerinden yararlanan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6.885,00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5.300,00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6.810,00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128,49 </w:t>
            </w:r>
          </w:p>
        </w:tc>
      </w:tr>
      <w:tr w:rsidR="00F80466" w:rsidRPr="00F80466" w:rsidTr="00F80466">
        <w:trPr>
          <w:trHeight w:val="56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Barınma hizmetlerinden yararlanan öğrenci sayısı</w:t>
            </w:r>
            <w:r>
              <w:rPr>
                <w:rFonts w:ascii="Century Gothic" w:eastAsia="Times New Roman" w:hAnsi="Century Gothic" w:cs="Calibri"/>
                <w:color w:val="000000"/>
                <w:sz w:val="20"/>
                <w:szCs w:val="20"/>
                <w:lang w:eastAsia="tr-TR"/>
              </w:rPr>
              <w:t xml:space="preserve"> </w:t>
            </w:r>
            <w:r w:rsidRPr="00F80466">
              <w:rPr>
                <w:rFonts w:ascii="Century Gothic" w:eastAsia="Times New Roman" w:hAnsi="Century Gothic" w:cs="Calibri"/>
                <w:color w:val="000000"/>
                <w:sz w:val="20"/>
                <w:szCs w:val="20"/>
                <w:lang w:eastAsia="tr-TR"/>
              </w:rPr>
              <w:t>gerçekleşmesi 2024 yılı hedefinin üzerinde gerçekleşmiştir.</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2.5.2 Öğrencilerin beslenme hizmetinden faydalanma (toplam öğün)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1.028.789,00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1.500.000,00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715.674,00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47,71 </w:t>
            </w:r>
          </w:p>
        </w:tc>
      </w:tr>
      <w:tr w:rsidR="00F80466" w:rsidRPr="00F80466" w:rsidTr="00F80466">
        <w:trPr>
          <w:trHeight w:val="43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Açıklama: 2024 yılı 1.6 aylık dönemde Öğrencilerin beslenme hizmetinden faydalanma sayısı 2024 yılı hedefinin %47,71'i olarak gerçekleşmiştir. </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2.5.3 Öğrenci kulüp ve topluluk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125</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122</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127</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104,10 </w:t>
            </w:r>
          </w:p>
        </w:tc>
      </w:tr>
      <w:tr w:rsidR="00F80466" w:rsidRPr="00F80466" w:rsidTr="00F80466">
        <w:trPr>
          <w:trHeight w:val="53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 Öğrenci kulüp ve topluluk sayısı gerçekleşmesi 2024 yılı hedefinin üzerinde gerçekleşmiştir.</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2.5.4 Öğrenci kulüplerine üye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42.981,00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34.500,00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44.272,00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128,32 </w:t>
            </w:r>
          </w:p>
        </w:tc>
      </w:tr>
      <w:tr w:rsidR="00F80466" w:rsidRPr="00F80466" w:rsidTr="00F80466">
        <w:trPr>
          <w:trHeight w:val="37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Öğrenci kulüplerine üye öğrenci sayısı 2024 yılı hedefinin üzerinde gerçekleşmiştir.</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2.5.5 Öğrencilerin 2209A/B fonlarından destek aldığı proje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399</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400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481</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120,25 </w:t>
            </w:r>
          </w:p>
        </w:tc>
      </w:tr>
      <w:tr w:rsidR="00F80466" w:rsidRPr="00F80466" w:rsidTr="00F80466">
        <w:trPr>
          <w:trHeight w:val="581"/>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w:t>
            </w:r>
            <w:r>
              <w:rPr>
                <w:rFonts w:ascii="Century Gothic" w:eastAsia="Times New Roman" w:hAnsi="Century Gothic" w:cs="Calibri"/>
                <w:color w:val="000000"/>
                <w:sz w:val="20"/>
                <w:szCs w:val="20"/>
                <w:lang w:eastAsia="tr-TR"/>
              </w:rPr>
              <w:t>ma: 2024 yılı 1.6 aylık dönemde</w:t>
            </w:r>
            <w:r w:rsidRPr="00F80466">
              <w:rPr>
                <w:rFonts w:ascii="Century Gothic" w:eastAsia="Times New Roman" w:hAnsi="Century Gothic" w:cs="Calibri"/>
                <w:color w:val="000000"/>
                <w:sz w:val="20"/>
                <w:szCs w:val="20"/>
                <w:lang w:eastAsia="tr-TR"/>
              </w:rPr>
              <w:t xml:space="preserve"> Öğrencilerin 2209A/B fonlarından destek aldığı proje sayısı 2024 yılı hedefinin üzerinde gerçekleşmiştir.</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2.5.6 Öğrencilerin kampüs imkânlarından memnuniyet oranı(%)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0,775</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0,78</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   </w:t>
            </w:r>
          </w:p>
        </w:tc>
      </w:tr>
      <w:tr w:rsidR="00F80466" w:rsidRPr="00F80466" w:rsidTr="00F80466">
        <w:trPr>
          <w:trHeight w:val="61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için yapılacak Öğrencilerin kampüs imkânlarından memnuniyet anketleri yılsonunda yapılması planlanmaktadır. Bu nedenle1.6 aylık dönemde gerçekleşme mevcut değildir.</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2.5.7 Öğrenci Dekanlığı'nın destek olduğu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2.480,00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3.200,00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728,00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22,75 </w:t>
            </w:r>
          </w:p>
        </w:tc>
      </w:tr>
      <w:tr w:rsidR="00F80466" w:rsidRPr="00F80466" w:rsidTr="00F80466">
        <w:trPr>
          <w:trHeight w:val="46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Öğrenci Dekanlığının destek olduğu öğrenci sayısı %22,75'i şeklinde gerçekleşmiştir.</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2.5.8 Üniversite tarafından sağlanan İhtiyaç/Yemek Bursundan faydalanan öğrenci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1.829,00</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2.100,00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1.729,00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82,33 </w:t>
            </w:r>
          </w:p>
        </w:tc>
      </w:tr>
      <w:tr w:rsidR="00F80466" w:rsidRPr="00F80466" w:rsidTr="00F80466">
        <w:trPr>
          <w:trHeight w:val="433"/>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Üniversite tarafından sağlanan İhtiyaç/Yemek Bursundan faydalanan öğrenci sayısı 2024 yılı hedefinin%82,33'ü gerçekleşmiştir.</w:t>
            </w:r>
          </w:p>
        </w:tc>
      </w:tr>
    </w:tbl>
    <w:p w:rsidR="00F80466" w:rsidRDefault="00F80466" w:rsidP="00FA139E">
      <w:pPr>
        <w:jc w:val="both"/>
        <w:rPr>
          <w:rFonts w:ascii="Century Gothic" w:hAnsi="Century Gothic"/>
          <w:sz w:val="24"/>
          <w:szCs w:val="24"/>
        </w:rPr>
      </w:pPr>
    </w:p>
    <w:tbl>
      <w:tblPr>
        <w:tblW w:w="5000" w:type="pct"/>
        <w:tblCellMar>
          <w:left w:w="70" w:type="dxa"/>
          <w:right w:w="70" w:type="dxa"/>
        </w:tblCellMar>
        <w:tblLook w:val="04A0" w:firstRow="1" w:lastRow="0" w:firstColumn="1" w:lastColumn="0" w:noHBand="0" w:noVBand="1"/>
      </w:tblPr>
      <w:tblGrid>
        <w:gridCol w:w="2882"/>
        <w:gridCol w:w="849"/>
        <w:gridCol w:w="1453"/>
        <w:gridCol w:w="1195"/>
        <w:gridCol w:w="1453"/>
        <w:gridCol w:w="1220"/>
      </w:tblGrid>
      <w:tr w:rsidR="00F80466" w:rsidRPr="00F80466" w:rsidTr="00F80466">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Amaç 3.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Kurumsallıkta Mükemmelleşmek ve Sürdürülebilirliğini Sağlamak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3.1</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Yönetim Uygulamaları ve Sistemlerini Geliştirmek</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 3.1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78,31</w:t>
            </w:r>
          </w:p>
        </w:tc>
      </w:tr>
      <w:tr w:rsidR="00F80466" w:rsidRPr="00F80466" w:rsidTr="00F80466">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Yönetim Rektör Yardımcılığı</w:t>
            </w:r>
          </w:p>
        </w:tc>
      </w:tr>
      <w:tr w:rsidR="00F80466" w:rsidRPr="00F80466" w:rsidTr="00F80466">
        <w:trPr>
          <w:trHeight w:val="300"/>
        </w:trPr>
        <w:tc>
          <w:tcPr>
            <w:tcW w:w="1646" w:type="pct"/>
            <w:tcBorders>
              <w:top w:val="nil"/>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c>
          <w:tcPr>
            <w:tcW w:w="3354" w:type="pct"/>
            <w:gridSpan w:val="5"/>
            <w:tcBorders>
              <w:top w:val="single" w:sz="8" w:space="0" w:color="D9D9D9"/>
              <w:left w:val="nil"/>
              <w:bottom w:val="single" w:sz="8" w:space="0" w:color="D9D9D9"/>
              <w:right w:val="nil"/>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w:t>
            </w:r>
          </w:p>
        </w:tc>
      </w:tr>
      <w:tr w:rsidR="00F80466" w:rsidRPr="00F80466" w:rsidTr="00F80466">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2023 Yılsonu Gerçekleşme </w:t>
            </w:r>
          </w:p>
        </w:tc>
        <w:tc>
          <w:tcPr>
            <w:tcW w:w="714"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F80466" w:rsidRPr="00F80466" w:rsidRDefault="00F80466" w:rsidP="00F80466">
            <w:pPr>
              <w:spacing w:after="0" w:line="240" w:lineRule="auto"/>
              <w:jc w:val="center"/>
              <w:rPr>
                <w:rFonts w:ascii="Century Gothic" w:eastAsia="Times New Roman" w:hAnsi="Century Gothic" w:cs="Calibri"/>
                <w:b/>
                <w:bCs/>
                <w:color w:val="FFFFFF"/>
                <w:sz w:val="20"/>
                <w:szCs w:val="20"/>
                <w:lang w:eastAsia="tr-TR"/>
              </w:rPr>
            </w:pPr>
            <w:r w:rsidRPr="00F80466">
              <w:rPr>
                <w:rFonts w:ascii="Century Gothic" w:eastAsia="Times New Roman" w:hAnsi="Century Gothic" w:cs="Calibri"/>
                <w:b/>
                <w:bCs/>
                <w:color w:val="FFFFFF"/>
                <w:sz w:val="20"/>
                <w:szCs w:val="20"/>
                <w:lang w:eastAsia="tr-TR"/>
              </w:rPr>
              <w:t>Performans (%)</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3.1.1 Sahip olunan yönetim sistemleri belge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6</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83,33 </w:t>
            </w:r>
          </w:p>
        </w:tc>
      </w:tr>
      <w:tr w:rsidR="00F80466" w:rsidRPr="00F80466" w:rsidTr="00F80466">
        <w:trPr>
          <w:trHeight w:val="60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2023 yılı hedefinin %83,33'ü gerçekleşmiştir. SafeCampusCovid-19 pandemi döneminde alınan bir belge olduğu için süresi bittiği için belge sayısı 5'e düşmüştür.</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3.1.2 Sürdürülebilir kalkınma hedefleri kapsamında gerçekleştirilen proje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768</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680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   </w:t>
            </w:r>
          </w:p>
        </w:tc>
      </w:tr>
      <w:tr w:rsidR="00F80466" w:rsidRPr="00F80466" w:rsidTr="00F80466">
        <w:trPr>
          <w:trHeight w:val="57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Açıklama: Sürdürülebilir kalkınma hedefleri kapsamında gerçekleştirilen proje sayısı göstegesinin gerçekleşmeleri 2.6 aylık dönemde yoğunlaşmaktadır. 2024 yılsonunda hedefe ulaşılacağı öngörülmektedir. </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3.1.3 Mekânda, eğitimde ve sosyo-kültürel faaliyetlerde erişilebilirlik belge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10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5</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100,00 </w:t>
            </w:r>
          </w:p>
        </w:tc>
      </w:tr>
      <w:tr w:rsidR="00F80466" w:rsidRPr="00F80466" w:rsidTr="00F80466">
        <w:trPr>
          <w:trHeight w:val="58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Mekanda, eğitimde ve sosyo-kültürel faaliyetlerde erişilebilirlik belge sayısı 2024 yılı hedefine ulaşmıştır</w:t>
            </w:r>
          </w:p>
        </w:tc>
      </w:tr>
      <w:tr w:rsidR="00F80466" w:rsidRPr="00F80466" w:rsidTr="00F80466">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3.1.4 Hizmetiçi eğitimlere katılan personel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704</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850</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716</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84,24 </w:t>
            </w:r>
          </w:p>
        </w:tc>
      </w:tr>
      <w:tr w:rsidR="00F80466" w:rsidRPr="00F80466" w:rsidTr="00F80466">
        <w:trPr>
          <w:trHeight w:val="60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Açıklama: 2024 yılı 1.6 aylık dönemde Hizmet içi eğitimlere katılan personel sayısı 2024 yılı hedefinin %584,24'ü şeklinde gerçekleşmiştir. 2024 yılsonunda hedefe ulaşılacağı öngörülmektedir. </w:t>
            </w:r>
          </w:p>
        </w:tc>
      </w:tr>
      <w:tr w:rsidR="00F80466" w:rsidRPr="00F80466" w:rsidTr="00F80466">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3.1.5 Hizmet içi eğitimlerden memnuniyet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0,90 </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0,915</w:t>
            </w:r>
          </w:p>
        </w:tc>
        <w:tc>
          <w:tcPr>
            <w:tcW w:w="766"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0,95 </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104,04 </w:t>
            </w:r>
          </w:p>
        </w:tc>
      </w:tr>
      <w:tr w:rsidR="00F80466" w:rsidRPr="00F80466" w:rsidTr="00F80466">
        <w:trPr>
          <w:trHeight w:val="66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Hizmet içi eğitimlerden memnuniyet oranı göstergesinin 2024 yılı hedefine ulaşmıştır.</w:t>
            </w:r>
          </w:p>
        </w:tc>
      </w:tr>
      <w:tr w:rsidR="00F80466" w:rsidRPr="00F80466" w:rsidTr="00F80466">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PG 3.1.6 İdari birimler tarafından sunulan hizmetlerden memnuniyet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center"/>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0,84 </w:t>
            </w:r>
          </w:p>
        </w:tc>
        <w:tc>
          <w:tcPr>
            <w:tcW w:w="714"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0,86</w:t>
            </w:r>
          </w:p>
        </w:tc>
        <w:tc>
          <w:tcPr>
            <w:tcW w:w="766" w:type="pct"/>
            <w:tcBorders>
              <w:top w:val="nil"/>
              <w:left w:val="nil"/>
              <w:bottom w:val="nil"/>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0,96 </w:t>
            </w:r>
          </w:p>
        </w:tc>
        <w:tc>
          <w:tcPr>
            <w:tcW w:w="642" w:type="pct"/>
            <w:tcBorders>
              <w:top w:val="nil"/>
              <w:left w:val="nil"/>
              <w:bottom w:val="single" w:sz="8" w:space="0" w:color="D9D9D9"/>
              <w:right w:val="single" w:sz="8" w:space="0" w:color="D9D9D9"/>
            </w:tcBorders>
            <w:shd w:val="clear" w:color="000000" w:fill="E7E6E6"/>
            <w:noWrap/>
            <w:vAlign w:val="center"/>
            <w:hideMark/>
          </w:tcPr>
          <w:p w:rsidR="00F80466" w:rsidRPr="00F80466" w:rsidRDefault="00F80466" w:rsidP="00F80466">
            <w:pPr>
              <w:spacing w:after="0" w:line="240" w:lineRule="auto"/>
              <w:jc w:val="right"/>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 xml:space="preserve">        111,58 </w:t>
            </w:r>
          </w:p>
        </w:tc>
      </w:tr>
      <w:tr w:rsidR="00F80466" w:rsidRPr="00F80466" w:rsidTr="00F80466">
        <w:trPr>
          <w:trHeight w:val="60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F80466" w:rsidRPr="00F80466" w:rsidRDefault="00F80466" w:rsidP="00F80466">
            <w:pPr>
              <w:spacing w:after="0" w:line="240" w:lineRule="auto"/>
              <w:rPr>
                <w:rFonts w:ascii="Century Gothic" w:eastAsia="Times New Roman" w:hAnsi="Century Gothic" w:cs="Calibri"/>
                <w:color w:val="000000"/>
                <w:sz w:val="20"/>
                <w:szCs w:val="20"/>
                <w:lang w:eastAsia="tr-TR"/>
              </w:rPr>
            </w:pPr>
            <w:r w:rsidRPr="00F80466">
              <w:rPr>
                <w:rFonts w:ascii="Century Gothic" w:eastAsia="Times New Roman" w:hAnsi="Century Gothic" w:cs="Calibri"/>
                <w:color w:val="000000"/>
                <w:sz w:val="20"/>
                <w:szCs w:val="20"/>
                <w:lang w:eastAsia="tr-TR"/>
              </w:rPr>
              <w:t>Açıklama: 2024 yılı 1.6 aylık dönemde İdari birimler tarafından sunulan hizmetlerden memnuniyet oranı (%) 2024 yılı hedefini aşmıştır.</w:t>
            </w:r>
          </w:p>
        </w:tc>
      </w:tr>
    </w:tbl>
    <w:p w:rsidR="00F80466" w:rsidRDefault="00F80466" w:rsidP="00FA139E">
      <w:pPr>
        <w:jc w:val="both"/>
        <w:rPr>
          <w:rFonts w:ascii="Century Gothic" w:hAnsi="Century Gothic"/>
          <w:sz w:val="24"/>
          <w:szCs w:val="24"/>
        </w:rPr>
      </w:pPr>
    </w:p>
    <w:p w:rsidR="00F80466" w:rsidRDefault="00F80466" w:rsidP="00FA139E">
      <w:pPr>
        <w:jc w:val="both"/>
        <w:rPr>
          <w:rFonts w:ascii="Century Gothic" w:hAnsi="Century Gothic"/>
          <w:sz w:val="24"/>
          <w:szCs w:val="24"/>
        </w:rPr>
      </w:pPr>
    </w:p>
    <w:p w:rsidR="00990E63" w:rsidRDefault="00990E63" w:rsidP="00FA139E">
      <w:pPr>
        <w:jc w:val="both"/>
        <w:rPr>
          <w:rFonts w:ascii="Century Gothic" w:hAnsi="Century Gothic"/>
          <w:sz w:val="24"/>
          <w:szCs w:val="24"/>
        </w:rPr>
      </w:pPr>
    </w:p>
    <w:p w:rsidR="00990E63" w:rsidRDefault="00990E63" w:rsidP="00FA139E">
      <w:pPr>
        <w:jc w:val="both"/>
        <w:rPr>
          <w:rFonts w:ascii="Century Gothic" w:hAnsi="Century Gothic"/>
          <w:sz w:val="24"/>
          <w:szCs w:val="24"/>
        </w:rPr>
      </w:pPr>
    </w:p>
    <w:tbl>
      <w:tblPr>
        <w:tblW w:w="5000" w:type="pct"/>
        <w:tblCellMar>
          <w:left w:w="70" w:type="dxa"/>
          <w:right w:w="70" w:type="dxa"/>
        </w:tblCellMar>
        <w:tblLook w:val="04A0" w:firstRow="1" w:lastRow="0" w:firstColumn="1" w:lastColumn="0" w:noHBand="0" w:noVBand="1"/>
      </w:tblPr>
      <w:tblGrid>
        <w:gridCol w:w="2882"/>
        <w:gridCol w:w="849"/>
        <w:gridCol w:w="1453"/>
        <w:gridCol w:w="1195"/>
        <w:gridCol w:w="1453"/>
        <w:gridCol w:w="1220"/>
      </w:tblGrid>
      <w:tr w:rsidR="00990E63" w:rsidRPr="00990E63" w:rsidTr="00990E63">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 xml:space="preserve">Amaç 3.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Kurumsallıkta Mükemmelleşmek ve Sürdürülebilirliğini Sağlamak</w:t>
            </w:r>
          </w:p>
        </w:tc>
      </w:tr>
      <w:tr w:rsidR="00990E63" w:rsidRPr="00990E63" w:rsidTr="00990E63">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Hedef 3.2</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Bilişim Altyapısını Tasarlamak ve Sürekli İyileştirmek</w:t>
            </w:r>
          </w:p>
        </w:tc>
      </w:tr>
      <w:tr w:rsidR="00990E63" w:rsidRPr="00990E63" w:rsidTr="00990E63">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Hedef 3.2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94,97</w:t>
            </w:r>
          </w:p>
        </w:tc>
      </w:tr>
      <w:tr w:rsidR="00990E63" w:rsidRPr="00990E63" w:rsidTr="00990E63">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Yönetim Rektör Yardımcılığı</w:t>
            </w:r>
          </w:p>
        </w:tc>
      </w:tr>
      <w:tr w:rsidR="00990E63" w:rsidRPr="00990E63" w:rsidTr="00990E63">
        <w:trPr>
          <w:trHeight w:val="300"/>
        </w:trPr>
        <w:tc>
          <w:tcPr>
            <w:tcW w:w="1646" w:type="pct"/>
            <w:tcBorders>
              <w:top w:val="nil"/>
              <w:left w:val="nil"/>
              <w:bottom w:val="single" w:sz="8" w:space="0" w:color="D9D9D9"/>
              <w:right w:val="nil"/>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w:t>
            </w:r>
          </w:p>
        </w:tc>
        <w:tc>
          <w:tcPr>
            <w:tcW w:w="3354" w:type="pct"/>
            <w:gridSpan w:val="5"/>
            <w:tcBorders>
              <w:top w:val="single" w:sz="8" w:space="0" w:color="D9D9D9"/>
              <w:left w:val="nil"/>
              <w:bottom w:val="single" w:sz="8" w:space="0" w:color="D9D9D9"/>
              <w:right w:val="nil"/>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w:t>
            </w:r>
          </w:p>
        </w:tc>
      </w:tr>
      <w:tr w:rsidR="00990E63" w:rsidRPr="00990E63" w:rsidTr="00990E63">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jc w:val="center"/>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jc w:val="center"/>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jc w:val="center"/>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2023 Yılsonu Gerçekleşme</w:t>
            </w:r>
          </w:p>
        </w:tc>
        <w:tc>
          <w:tcPr>
            <w:tcW w:w="714" w:type="pct"/>
            <w:tcBorders>
              <w:top w:val="nil"/>
              <w:left w:val="nil"/>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jc w:val="center"/>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jc w:val="center"/>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990E63" w:rsidRPr="00990E63" w:rsidRDefault="00990E63" w:rsidP="00990E63">
            <w:pPr>
              <w:spacing w:after="0" w:line="240" w:lineRule="auto"/>
              <w:jc w:val="center"/>
              <w:rPr>
                <w:rFonts w:ascii="Century Gothic" w:eastAsia="Times New Roman" w:hAnsi="Century Gothic" w:cs="Calibri"/>
                <w:b/>
                <w:bCs/>
                <w:color w:val="FFFFFF"/>
                <w:sz w:val="20"/>
                <w:szCs w:val="20"/>
                <w:lang w:eastAsia="tr-TR"/>
              </w:rPr>
            </w:pPr>
            <w:r w:rsidRPr="00990E63">
              <w:rPr>
                <w:rFonts w:ascii="Century Gothic" w:eastAsia="Times New Roman" w:hAnsi="Century Gothic" w:cs="Calibri"/>
                <w:b/>
                <w:bCs/>
                <w:color w:val="FFFFFF"/>
                <w:sz w:val="20"/>
                <w:szCs w:val="20"/>
                <w:lang w:eastAsia="tr-TR"/>
              </w:rPr>
              <w:t>Performans (%)</w:t>
            </w:r>
          </w:p>
        </w:tc>
      </w:tr>
      <w:tr w:rsidR="00990E63" w:rsidRPr="00990E63" w:rsidTr="00990E63">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PG 3.2.1 Üniversitenin sahip olduğu yazılım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center"/>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71</w:t>
            </w:r>
          </w:p>
        </w:tc>
        <w:tc>
          <w:tcPr>
            <w:tcW w:w="714"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68</w:t>
            </w:r>
          </w:p>
        </w:tc>
        <w:tc>
          <w:tcPr>
            <w:tcW w:w="766"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64</w:t>
            </w:r>
          </w:p>
        </w:tc>
        <w:tc>
          <w:tcPr>
            <w:tcW w:w="642"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xml:space="preserve">          94,12 </w:t>
            </w:r>
          </w:p>
        </w:tc>
      </w:tr>
      <w:tr w:rsidR="00990E63" w:rsidRPr="00990E63" w:rsidTr="00990E63">
        <w:trPr>
          <w:trHeight w:val="63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Açıklama: 2024 yılı 1.6 aylık dönemde Üniversitenin sahip olduğu yazılım sayısı 2024 yılı hedefinin %94,12'sı olarak gerçekleşmiştir. Yılsonunda 2024 hedefine ulaşılacağı öngörülmektedir.</w:t>
            </w:r>
          </w:p>
        </w:tc>
      </w:tr>
      <w:tr w:rsidR="00990E63" w:rsidRPr="00990E63" w:rsidTr="00990E63">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PG 3.2.2 Bilişim Teknolojileri Altyapısı (Yazılım ve Donanım) ve Otomasyondan Memnuniyet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center"/>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76</w:t>
            </w:r>
          </w:p>
        </w:tc>
        <w:tc>
          <w:tcPr>
            <w:tcW w:w="714"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79</w:t>
            </w:r>
          </w:p>
        </w:tc>
        <w:tc>
          <w:tcPr>
            <w:tcW w:w="766"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0</w:t>
            </w:r>
          </w:p>
        </w:tc>
        <w:tc>
          <w:tcPr>
            <w:tcW w:w="642"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xml:space="preserve">               -   </w:t>
            </w:r>
          </w:p>
        </w:tc>
      </w:tr>
      <w:tr w:rsidR="00990E63" w:rsidRPr="00990E63" w:rsidTr="00990E63">
        <w:trPr>
          <w:trHeight w:val="70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Açıklama: Bilişim Teknolojileri Altyapısı (Yazılım ve Donanım) ve  Otomasyondan Memnuniyet anketinin yılsonunda yapılması planlanmaktadır.Bu nedenle 1.6 aylık dönemde gerçekleşme mevcut değildir.</w:t>
            </w:r>
          </w:p>
        </w:tc>
      </w:tr>
      <w:tr w:rsidR="00990E63" w:rsidRPr="00990E63" w:rsidTr="00990E63">
        <w:trPr>
          <w:trHeight w:val="1596"/>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xml:space="preserve">PG 3.2.3 Üniversite Web sayfasının içerik ve görünürlülük açısından (Webometrics Ranking of World Universities) Dünya sıralaması </w:t>
            </w:r>
          </w:p>
        </w:tc>
        <w:tc>
          <w:tcPr>
            <w:tcW w:w="445"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center"/>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1.173,00</w:t>
            </w:r>
          </w:p>
        </w:tc>
        <w:tc>
          <w:tcPr>
            <w:tcW w:w="714"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1.100,00</w:t>
            </w:r>
          </w:p>
        </w:tc>
        <w:tc>
          <w:tcPr>
            <w:tcW w:w="766"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2.003,00</w:t>
            </w:r>
          </w:p>
        </w:tc>
        <w:tc>
          <w:tcPr>
            <w:tcW w:w="642"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xml:space="preserve">          54,92 </w:t>
            </w:r>
          </w:p>
        </w:tc>
      </w:tr>
      <w:tr w:rsidR="00990E63" w:rsidRPr="00990E63" w:rsidTr="00990E63">
        <w:trPr>
          <w:trHeight w:val="81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Açıklama: 2024 yılının 1.6 aylık döneminde açıklanan sonuçlara göre Üniversite Web sayfasının içerik ve görünürlülükaçısından (WebometricsRankingof World Universities) Dünya sıralaması 2024 yılsonu hedefinin %54,92'si olarak gerçekleşmiştir.</w:t>
            </w:r>
          </w:p>
        </w:tc>
      </w:tr>
      <w:tr w:rsidR="00990E63" w:rsidRPr="00990E63" w:rsidTr="00990E63">
        <w:trPr>
          <w:trHeight w:val="1596"/>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xml:space="preserve">PG 3.2.4 Üniversite Web sayfasının içerik ve görünürlülük açısından (Webometrics Ranking of World Universities) Türkiye sıralaması </w:t>
            </w:r>
          </w:p>
        </w:tc>
        <w:tc>
          <w:tcPr>
            <w:tcW w:w="445"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center"/>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14</w:t>
            </w:r>
          </w:p>
        </w:tc>
        <w:tc>
          <w:tcPr>
            <w:tcW w:w="714"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13</w:t>
            </w:r>
          </w:p>
        </w:tc>
        <w:tc>
          <w:tcPr>
            <w:tcW w:w="766"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8</w:t>
            </w:r>
          </w:p>
        </w:tc>
        <w:tc>
          <w:tcPr>
            <w:tcW w:w="642"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xml:space="preserve">        162,50 </w:t>
            </w:r>
          </w:p>
        </w:tc>
      </w:tr>
      <w:tr w:rsidR="00990E63" w:rsidRPr="00990E63" w:rsidTr="00990E63">
        <w:trPr>
          <w:trHeight w:val="68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Açıklama: 2024 yılının 1.6 aylık döneminde açıklanan sonuçlara göre Üniversite Web sayfasının içerik ve görünürlülükaçısından (WebometricsRankingof World Universities) Türkiye sıralaması 2024 yılı hedefini aşmıştır.</w:t>
            </w:r>
          </w:p>
        </w:tc>
      </w:tr>
      <w:tr w:rsidR="00990E63" w:rsidRPr="00990E63" w:rsidTr="00990E63">
        <w:trPr>
          <w:trHeight w:val="1068"/>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PG 3.2.5 Üniversitenin AR-GE, Eğitim-Öğretim ve İdari Süreçlerinde dijital olgunluk seviyesi</w:t>
            </w:r>
          </w:p>
        </w:tc>
        <w:tc>
          <w:tcPr>
            <w:tcW w:w="445"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center"/>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25</w:t>
            </w:r>
          </w:p>
        </w:tc>
        <w:tc>
          <w:tcPr>
            <w:tcW w:w="787"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0,97</w:t>
            </w:r>
          </w:p>
        </w:tc>
        <w:tc>
          <w:tcPr>
            <w:tcW w:w="714"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0,75</w:t>
            </w:r>
          </w:p>
        </w:tc>
        <w:tc>
          <w:tcPr>
            <w:tcW w:w="766"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0,98</w:t>
            </w:r>
          </w:p>
        </w:tc>
        <w:tc>
          <w:tcPr>
            <w:tcW w:w="642" w:type="pct"/>
            <w:tcBorders>
              <w:top w:val="nil"/>
              <w:left w:val="nil"/>
              <w:bottom w:val="single" w:sz="8" w:space="0" w:color="D9D9D9"/>
              <w:right w:val="single" w:sz="8" w:space="0" w:color="D9D9D9"/>
            </w:tcBorders>
            <w:shd w:val="clear" w:color="000000" w:fill="E7E6E6"/>
            <w:noWrap/>
            <w:vAlign w:val="center"/>
            <w:hideMark/>
          </w:tcPr>
          <w:p w:rsidR="00990E63" w:rsidRPr="00990E63" w:rsidRDefault="00990E63" w:rsidP="00990E63">
            <w:pPr>
              <w:spacing w:after="0" w:line="240" w:lineRule="auto"/>
              <w:jc w:val="right"/>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 xml:space="preserve">        130,67 </w:t>
            </w:r>
          </w:p>
        </w:tc>
      </w:tr>
      <w:tr w:rsidR="00990E63" w:rsidRPr="00990E63" w:rsidTr="00990E63">
        <w:trPr>
          <w:trHeight w:val="64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990E63" w:rsidRPr="00990E63" w:rsidRDefault="00990E63" w:rsidP="00990E63">
            <w:pPr>
              <w:spacing w:after="0" w:line="240" w:lineRule="auto"/>
              <w:rPr>
                <w:rFonts w:ascii="Century Gothic" w:eastAsia="Times New Roman" w:hAnsi="Century Gothic" w:cs="Calibri"/>
                <w:color w:val="000000"/>
                <w:sz w:val="20"/>
                <w:szCs w:val="20"/>
                <w:lang w:eastAsia="tr-TR"/>
              </w:rPr>
            </w:pPr>
            <w:r w:rsidRPr="00990E63">
              <w:rPr>
                <w:rFonts w:ascii="Century Gothic" w:eastAsia="Times New Roman" w:hAnsi="Century Gothic" w:cs="Calibri"/>
                <w:color w:val="000000"/>
                <w:sz w:val="20"/>
                <w:szCs w:val="20"/>
                <w:lang w:eastAsia="tr-TR"/>
              </w:rPr>
              <w:t>Açıklama: 2024 yılı 1.6 aylık dönemde Üniversitenin AR-GE, Eğitim-Öğretim ve İdari Süreçlerinde dijital olgunluk seviyesi 2024 yılı hedefini aşmıştır.</w:t>
            </w:r>
          </w:p>
        </w:tc>
      </w:tr>
    </w:tbl>
    <w:p w:rsidR="00990E63" w:rsidRDefault="00990E63" w:rsidP="00FA139E">
      <w:pPr>
        <w:jc w:val="both"/>
        <w:rPr>
          <w:rFonts w:ascii="Century Gothic" w:hAnsi="Century Gothic"/>
          <w:sz w:val="24"/>
          <w:szCs w:val="24"/>
        </w:rPr>
      </w:pPr>
    </w:p>
    <w:p w:rsidR="00990E63" w:rsidRDefault="00990E63" w:rsidP="00FA139E">
      <w:pPr>
        <w:jc w:val="both"/>
        <w:rPr>
          <w:rFonts w:ascii="Century Gothic" w:hAnsi="Century Gothic"/>
          <w:sz w:val="24"/>
          <w:szCs w:val="24"/>
        </w:rPr>
      </w:pPr>
    </w:p>
    <w:p w:rsidR="00990E63" w:rsidRDefault="00990E63"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tbl>
      <w:tblPr>
        <w:tblW w:w="5000" w:type="pct"/>
        <w:tblCellMar>
          <w:left w:w="70" w:type="dxa"/>
          <w:right w:w="70" w:type="dxa"/>
        </w:tblCellMar>
        <w:tblLook w:val="04A0" w:firstRow="1" w:lastRow="0" w:firstColumn="1" w:lastColumn="0" w:noHBand="0" w:noVBand="1"/>
      </w:tblPr>
      <w:tblGrid>
        <w:gridCol w:w="2882"/>
        <w:gridCol w:w="849"/>
        <w:gridCol w:w="1453"/>
        <w:gridCol w:w="1195"/>
        <w:gridCol w:w="1453"/>
        <w:gridCol w:w="1220"/>
      </w:tblGrid>
      <w:tr w:rsidR="00D24CCC" w:rsidRPr="00D24CCC" w:rsidTr="00D24CCC">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Amaç 3.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Kurumsallıkta Mükemmelleşmek ve Sürdürülebilirliğini Sağlamak</w:t>
            </w:r>
          </w:p>
        </w:tc>
      </w:tr>
      <w:tr w:rsidR="00D24CCC" w:rsidRPr="00D24CCC" w:rsidTr="00D24CCC">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 3.3</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Kurumsal İletişim ve Tanıtımı Sürekli İyileştirmek</w:t>
            </w:r>
          </w:p>
        </w:tc>
      </w:tr>
      <w:tr w:rsidR="00D24CCC" w:rsidRPr="00D24CCC" w:rsidTr="00D24CCC">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 3.3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64,74</w:t>
            </w:r>
          </w:p>
        </w:tc>
      </w:tr>
      <w:tr w:rsidR="00D24CCC" w:rsidRPr="00D24CCC" w:rsidTr="00D24CCC">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Yönetim Rektör Yardımcılığı</w:t>
            </w:r>
          </w:p>
        </w:tc>
      </w:tr>
      <w:tr w:rsidR="00D24CCC" w:rsidRPr="00D24CCC" w:rsidTr="00D24CCC">
        <w:trPr>
          <w:trHeight w:val="300"/>
        </w:trPr>
        <w:tc>
          <w:tcPr>
            <w:tcW w:w="1646" w:type="pct"/>
            <w:tcBorders>
              <w:top w:val="nil"/>
              <w:left w:val="nil"/>
              <w:bottom w:val="single" w:sz="8" w:space="0" w:color="D9D9D9"/>
              <w:right w:val="nil"/>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w:t>
            </w:r>
          </w:p>
        </w:tc>
        <w:tc>
          <w:tcPr>
            <w:tcW w:w="3354" w:type="pct"/>
            <w:gridSpan w:val="5"/>
            <w:tcBorders>
              <w:top w:val="single" w:sz="8" w:space="0" w:color="D9D9D9"/>
              <w:left w:val="nil"/>
              <w:bottom w:val="single" w:sz="8" w:space="0" w:color="D9D9D9"/>
              <w:right w:val="nil"/>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w:t>
            </w:r>
          </w:p>
        </w:tc>
      </w:tr>
      <w:tr w:rsidR="00D24CCC" w:rsidRPr="00D24CCC" w:rsidTr="00D24CCC">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2023 Yılsonu Gerçekleşme </w:t>
            </w:r>
          </w:p>
        </w:tc>
        <w:tc>
          <w:tcPr>
            <w:tcW w:w="714"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Performans (%)</w:t>
            </w:r>
          </w:p>
        </w:tc>
      </w:tr>
      <w:tr w:rsidR="00D24CCC" w:rsidRPr="00D24CCC" w:rsidTr="00D24CCC">
        <w:trPr>
          <w:trHeight w:val="1332"/>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3.3.1 Yıldız Teknik Üniversitesi ve bileşenleri adına açılmış sosyal medya hesap sayısı (Twitter, Linkedln, Instagram)</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188</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140</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175</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125,00 </w:t>
            </w:r>
          </w:p>
        </w:tc>
      </w:tr>
      <w:tr w:rsidR="00D24CCC" w:rsidRPr="00D24CCC" w:rsidTr="00D24CCC">
        <w:trPr>
          <w:trHeight w:val="74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Açıklama: 2024 yılı 1.6 aylık dönemde Yıldız Teknik Üniversitesi ve bileşenleri adına açılmış sosyal medya hesap sayısı (Twitter, Linkedln, Instagram) 2024 yılı hedefini aşmıştır. </w:t>
            </w:r>
          </w:p>
        </w:tc>
      </w:tr>
      <w:tr w:rsidR="00D24CCC" w:rsidRPr="00D24CCC" w:rsidTr="00D24CCC">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3.3.2 Üniversite takipçi sayısı (Twitter, Linkedln, Instagram)</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310.661,00</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290.000,00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321.375,00</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110,82 </w:t>
            </w:r>
          </w:p>
        </w:tc>
      </w:tr>
      <w:tr w:rsidR="00D24CCC" w:rsidRPr="00D24CCC" w:rsidTr="00D24CCC">
        <w:trPr>
          <w:trHeight w:val="648"/>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Üniversite takipçi sayısı (Twitter+LınkedIn+Intagram) 2024 yılı hedefini aşmıştır. İlgili göstergede sadece "yildiz.edu"sosyal medya hesapları dikkate alınmıştır.</w:t>
            </w:r>
          </w:p>
        </w:tc>
      </w:tr>
      <w:tr w:rsidR="00D24CCC" w:rsidRPr="00D24CCC" w:rsidTr="00D24CCC">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3.3.3 YTÜ sosyal medya paylaşım sayısı (Twitter, Linkedln, Instagram)</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1.089,00</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1.350,00</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583,00</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43,19 </w:t>
            </w:r>
          </w:p>
        </w:tc>
      </w:tr>
      <w:tr w:rsidR="00D24CCC" w:rsidRPr="00D24CCC" w:rsidTr="00D24CCC">
        <w:trPr>
          <w:trHeight w:val="780"/>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YTÜ sosyal medya paylaşım sayısı (Twitter+LınkedIn+Intagram) 2024 yılı hedefinin %43,19'u gerçekleşmiştir.  İlgili göstergede sadece "yildiz.edu" sosyal medya hesaplarındaki paylaşımlar dikkate alınmıştır.</w:t>
            </w:r>
          </w:p>
        </w:tc>
      </w:tr>
      <w:tr w:rsidR="00D24CCC" w:rsidRPr="00D24CCC" w:rsidTr="00D24CCC">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3.3.4 Ulusal yazılı ve görüntülü medyada görünme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24.986,00</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57.000,00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12.680,00</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22,25 </w:t>
            </w:r>
          </w:p>
        </w:tc>
      </w:tr>
      <w:tr w:rsidR="00D24CCC" w:rsidRPr="00D24CCC" w:rsidTr="00D24CCC">
        <w:trPr>
          <w:trHeight w:val="51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Ulusal yazılı ve görüntülü medyada görünme sayısı 2024 yılsonu hedefinin %22,25'i şeklinde gerçekleşmiştir.</w:t>
            </w:r>
          </w:p>
        </w:tc>
      </w:tr>
      <w:tr w:rsidR="00D24CCC" w:rsidRPr="00D24CCC" w:rsidTr="00D24CCC">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3.3.5 Katılım sağlanan fuar ve tanıtım etkinlik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241</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370</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83</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22,43 </w:t>
            </w:r>
          </w:p>
        </w:tc>
      </w:tr>
      <w:tr w:rsidR="00D24CCC" w:rsidRPr="00D24CCC" w:rsidTr="00D24CCC">
        <w:trPr>
          <w:trHeight w:val="636"/>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Açıklama: 2024 yılı 1.6 aylık dönemde Katılım sağlanan fuar ve tanıtım etkinlik sayısı 2024 yılı hedefinin %22,43'ü olarak gerçekleşmiştir. </w:t>
            </w:r>
          </w:p>
        </w:tc>
      </w:tr>
    </w:tbl>
    <w:p w:rsidR="00990E63" w:rsidRDefault="00990E63"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tbl>
      <w:tblPr>
        <w:tblW w:w="9660" w:type="dxa"/>
        <w:tblCellMar>
          <w:left w:w="70" w:type="dxa"/>
          <w:right w:w="70" w:type="dxa"/>
        </w:tblCellMar>
        <w:tblLook w:val="04A0" w:firstRow="1" w:lastRow="0" w:firstColumn="1" w:lastColumn="0" w:noHBand="0" w:noVBand="1"/>
      </w:tblPr>
      <w:tblGrid>
        <w:gridCol w:w="3180"/>
        <w:gridCol w:w="860"/>
        <w:gridCol w:w="1520"/>
        <w:gridCol w:w="1380"/>
        <w:gridCol w:w="1480"/>
        <w:gridCol w:w="1240"/>
      </w:tblGrid>
      <w:tr w:rsidR="00D24CCC" w:rsidRPr="00D24CCC" w:rsidTr="00D24CCC">
        <w:trPr>
          <w:trHeight w:val="300"/>
        </w:trPr>
        <w:tc>
          <w:tcPr>
            <w:tcW w:w="3180" w:type="dxa"/>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Amaç 4. </w:t>
            </w:r>
          </w:p>
        </w:tc>
        <w:tc>
          <w:tcPr>
            <w:tcW w:w="6480" w:type="dxa"/>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Toplumun Yaşam Kalitesinin Yükselmesine Yönelik Çalışmalara Öncülük Etmek</w:t>
            </w:r>
          </w:p>
        </w:tc>
      </w:tr>
      <w:tr w:rsidR="00D24CCC" w:rsidRPr="00D24CCC" w:rsidTr="00D24CCC">
        <w:trPr>
          <w:trHeight w:val="300"/>
        </w:trPr>
        <w:tc>
          <w:tcPr>
            <w:tcW w:w="3180" w:type="dxa"/>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 4.1</w:t>
            </w:r>
          </w:p>
        </w:tc>
        <w:tc>
          <w:tcPr>
            <w:tcW w:w="6480" w:type="dxa"/>
            <w:gridSpan w:val="5"/>
            <w:tcBorders>
              <w:top w:val="single" w:sz="8" w:space="0" w:color="D9D9D9"/>
              <w:left w:val="nil"/>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Toplumun Temel Sorunlarını Tespit Ederek Bu Sorunlara Çözümler Üretmek</w:t>
            </w:r>
          </w:p>
        </w:tc>
      </w:tr>
      <w:tr w:rsidR="00D24CCC" w:rsidRPr="00D24CCC" w:rsidTr="00D24CCC">
        <w:trPr>
          <w:trHeight w:val="300"/>
        </w:trPr>
        <w:tc>
          <w:tcPr>
            <w:tcW w:w="3180" w:type="dxa"/>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 4.1 Performansı %</w:t>
            </w:r>
          </w:p>
        </w:tc>
        <w:tc>
          <w:tcPr>
            <w:tcW w:w="6480" w:type="dxa"/>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120,68</w:t>
            </w:r>
          </w:p>
        </w:tc>
      </w:tr>
      <w:tr w:rsidR="00D24CCC" w:rsidRPr="00D24CCC" w:rsidTr="00D24CCC">
        <w:trPr>
          <w:trHeight w:val="300"/>
        </w:trPr>
        <w:tc>
          <w:tcPr>
            <w:tcW w:w="3180" w:type="dxa"/>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Sorumlu Birim</w:t>
            </w:r>
          </w:p>
        </w:tc>
        <w:tc>
          <w:tcPr>
            <w:tcW w:w="6480" w:type="dxa"/>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Eğitim-Öğretim Rektör Yardımcılığı</w:t>
            </w:r>
          </w:p>
        </w:tc>
      </w:tr>
      <w:tr w:rsidR="00D24CCC" w:rsidRPr="00D24CCC" w:rsidTr="00D24CCC">
        <w:trPr>
          <w:trHeight w:val="300"/>
        </w:trPr>
        <w:tc>
          <w:tcPr>
            <w:tcW w:w="3180" w:type="dxa"/>
            <w:tcBorders>
              <w:top w:val="nil"/>
              <w:left w:val="nil"/>
              <w:bottom w:val="single" w:sz="8" w:space="0" w:color="D9D9D9"/>
              <w:right w:val="nil"/>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w:t>
            </w:r>
          </w:p>
        </w:tc>
        <w:tc>
          <w:tcPr>
            <w:tcW w:w="6480" w:type="dxa"/>
            <w:gridSpan w:val="5"/>
            <w:tcBorders>
              <w:top w:val="single" w:sz="8" w:space="0" w:color="D9D9D9"/>
              <w:left w:val="nil"/>
              <w:bottom w:val="single" w:sz="8" w:space="0" w:color="D9D9D9"/>
              <w:right w:val="nil"/>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w:t>
            </w:r>
          </w:p>
        </w:tc>
      </w:tr>
      <w:tr w:rsidR="00D24CCC" w:rsidRPr="00D24CCC" w:rsidTr="00D24CCC">
        <w:trPr>
          <w:trHeight w:val="768"/>
        </w:trPr>
        <w:tc>
          <w:tcPr>
            <w:tcW w:w="3180" w:type="dxa"/>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Gösterge Adı</w:t>
            </w:r>
          </w:p>
        </w:tc>
        <w:tc>
          <w:tcPr>
            <w:tcW w:w="860" w:type="dxa"/>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Hedefe Etkisi (%)</w:t>
            </w:r>
          </w:p>
        </w:tc>
        <w:tc>
          <w:tcPr>
            <w:tcW w:w="1520" w:type="dxa"/>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2023 Yılsonu Gerçekleşme</w:t>
            </w:r>
          </w:p>
        </w:tc>
        <w:tc>
          <w:tcPr>
            <w:tcW w:w="1380" w:type="dxa"/>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2024 Yılsonu Hedefi</w:t>
            </w:r>
          </w:p>
        </w:tc>
        <w:tc>
          <w:tcPr>
            <w:tcW w:w="1480" w:type="dxa"/>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2024 1.6 Ay (Haziran Sonu) Gerçekleşme </w:t>
            </w:r>
          </w:p>
        </w:tc>
        <w:tc>
          <w:tcPr>
            <w:tcW w:w="1240" w:type="dxa"/>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Performans (%)</w:t>
            </w:r>
          </w:p>
        </w:tc>
      </w:tr>
      <w:tr w:rsidR="00D24CCC" w:rsidRPr="00D24CCC" w:rsidTr="00D24CCC">
        <w:trPr>
          <w:trHeight w:val="804"/>
        </w:trPr>
        <w:tc>
          <w:tcPr>
            <w:tcW w:w="3180" w:type="dxa"/>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4.1.1 Üniversitenin sürdürülebilirlik endekslerindeki (Greenmetric) sıralaması</w:t>
            </w:r>
          </w:p>
        </w:tc>
        <w:tc>
          <w:tcPr>
            <w:tcW w:w="86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15</w:t>
            </w:r>
          </w:p>
        </w:tc>
        <w:tc>
          <w:tcPr>
            <w:tcW w:w="152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63</w:t>
            </w:r>
          </w:p>
        </w:tc>
        <w:tc>
          <w:tcPr>
            <w:tcW w:w="13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85</w:t>
            </w:r>
          </w:p>
        </w:tc>
        <w:tc>
          <w:tcPr>
            <w:tcW w:w="14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63</w:t>
            </w:r>
          </w:p>
        </w:tc>
        <w:tc>
          <w:tcPr>
            <w:tcW w:w="124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134,92 </w:t>
            </w:r>
          </w:p>
        </w:tc>
      </w:tr>
      <w:tr w:rsidR="00D24CCC" w:rsidRPr="00D24CCC" w:rsidTr="00D24CCC">
        <w:trPr>
          <w:trHeight w:val="660"/>
        </w:trPr>
        <w:tc>
          <w:tcPr>
            <w:tcW w:w="9660" w:type="dxa"/>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için Greenmetricsıralamaları henüz açıklanmadığı için 1.6 aylık dönemde henüz gerçekleşme olmamıştır. Yılsonunda 2024 hedefine ulaşılacağı öngörülmektedir.</w:t>
            </w:r>
          </w:p>
        </w:tc>
      </w:tr>
      <w:tr w:rsidR="00D24CCC" w:rsidRPr="00D24CCC" w:rsidTr="00D24CCC">
        <w:trPr>
          <w:trHeight w:val="804"/>
        </w:trPr>
        <w:tc>
          <w:tcPr>
            <w:tcW w:w="3180" w:type="dxa"/>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4.1.2 Sürdürülebilirlik kapsamında yapılan toplam faaliyet sayısı</w:t>
            </w:r>
          </w:p>
        </w:tc>
        <w:tc>
          <w:tcPr>
            <w:tcW w:w="86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152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349</w:t>
            </w:r>
          </w:p>
        </w:tc>
        <w:tc>
          <w:tcPr>
            <w:tcW w:w="13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65</w:t>
            </w:r>
          </w:p>
        </w:tc>
        <w:tc>
          <w:tcPr>
            <w:tcW w:w="14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215</w:t>
            </w:r>
          </w:p>
        </w:tc>
        <w:tc>
          <w:tcPr>
            <w:tcW w:w="124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330,77 </w:t>
            </w:r>
          </w:p>
        </w:tc>
      </w:tr>
      <w:tr w:rsidR="00D24CCC" w:rsidRPr="00D24CCC" w:rsidTr="00D24CCC">
        <w:trPr>
          <w:trHeight w:val="624"/>
        </w:trPr>
        <w:tc>
          <w:tcPr>
            <w:tcW w:w="9660" w:type="dxa"/>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Sürdürülebilirlik kapsamında yapılan toplam faaliyet sayısı 2024 yılı hedefini aşmıştır.</w:t>
            </w:r>
          </w:p>
        </w:tc>
      </w:tr>
      <w:tr w:rsidR="00D24CCC" w:rsidRPr="00D24CCC" w:rsidTr="00D24CCC">
        <w:trPr>
          <w:trHeight w:val="540"/>
        </w:trPr>
        <w:tc>
          <w:tcPr>
            <w:tcW w:w="3180" w:type="dxa"/>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4.1.3 Üniversitenin THE Impact Ranking sıralaması</w:t>
            </w:r>
          </w:p>
        </w:tc>
        <w:tc>
          <w:tcPr>
            <w:tcW w:w="86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15</w:t>
            </w:r>
          </w:p>
        </w:tc>
        <w:tc>
          <w:tcPr>
            <w:tcW w:w="152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201</w:t>
            </w:r>
          </w:p>
        </w:tc>
        <w:tc>
          <w:tcPr>
            <w:tcW w:w="13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100</w:t>
            </w:r>
          </w:p>
        </w:tc>
        <w:tc>
          <w:tcPr>
            <w:tcW w:w="14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175</w:t>
            </w:r>
          </w:p>
        </w:tc>
        <w:tc>
          <w:tcPr>
            <w:tcW w:w="124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57,14 </w:t>
            </w:r>
          </w:p>
        </w:tc>
      </w:tr>
      <w:tr w:rsidR="00D24CCC" w:rsidRPr="00D24CCC" w:rsidTr="00D24CCC">
        <w:trPr>
          <w:trHeight w:val="624"/>
        </w:trPr>
        <w:tc>
          <w:tcPr>
            <w:tcW w:w="9660" w:type="dxa"/>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Açıklama: 2024 yılının 1.6 aylık döneminde açıklanan Üniversitenin THE ImpactRankingsıralamasına göre 2024 yılı hedefinin %57,14'ü olarak gerçekleşmiştir. </w:t>
            </w:r>
          </w:p>
        </w:tc>
      </w:tr>
      <w:tr w:rsidR="00D24CCC" w:rsidRPr="00D24CCC" w:rsidTr="00D24CCC">
        <w:trPr>
          <w:trHeight w:val="1332"/>
        </w:trPr>
        <w:tc>
          <w:tcPr>
            <w:tcW w:w="3180" w:type="dxa"/>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4.1.4 Sürekli Eğitim Merkezi (SEM), TÖMER ve Fakülteler tarafından yapılan mesleki eğitime yönelik verilen sertifika sayısı</w:t>
            </w:r>
          </w:p>
        </w:tc>
        <w:tc>
          <w:tcPr>
            <w:tcW w:w="86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25</w:t>
            </w:r>
          </w:p>
        </w:tc>
        <w:tc>
          <w:tcPr>
            <w:tcW w:w="152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2.102,00</w:t>
            </w:r>
          </w:p>
        </w:tc>
        <w:tc>
          <w:tcPr>
            <w:tcW w:w="13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3.600,00</w:t>
            </w:r>
          </w:p>
        </w:tc>
        <w:tc>
          <w:tcPr>
            <w:tcW w:w="14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1.800,00</w:t>
            </w:r>
          </w:p>
        </w:tc>
        <w:tc>
          <w:tcPr>
            <w:tcW w:w="124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50,00 </w:t>
            </w:r>
          </w:p>
        </w:tc>
      </w:tr>
      <w:tr w:rsidR="00D24CCC" w:rsidRPr="00D24CCC" w:rsidTr="00D24CCC">
        <w:trPr>
          <w:trHeight w:val="876"/>
        </w:trPr>
        <w:tc>
          <w:tcPr>
            <w:tcW w:w="9660" w:type="dxa"/>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Sürekli Eğitim Merkezi (SEM), TÖMER ve Fakülteler tarafından yapılan mesleki eğitime yönelik verilen sertifika sayısı 2024 yılı hedefinin %50'sı olarak gerçekleşmiştir. Yılsonunda 2024 hedefine ulaşılacağı öngörülmektedir.</w:t>
            </w:r>
          </w:p>
        </w:tc>
      </w:tr>
      <w:tr w:rsidR="00D24CCC" w:rsidRPr="00D24CCC" w:rsidTr="00D24CCC">
        <w:trPr>
          <w:trHeight w:val="540"/>
        </w:trPr>
        <w:tc>
          <w:tcPr>
            <w:tcW w:w="3180" w:type="dxa"/>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4.1.5 Tamamlanan sosyal sorumluluk projeleri sayısı</w:t>
            </w:r>
          </w:p>
        </w:tc>
        <w:tc>
          <w:tcPr>
            <w:tcW w:w="86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25</w:t>
            </w:r>
          </w:p>
        </w:tc>
        <w:tc>
          <w:tcPr>
            <w:tcW w:w="152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70</w:t>
            </w:r>
          </w:p>
        </w:tc>
        <w:tc>
          <w:tcPr>
            <w:tcW w:w="13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70</w:t>
            </w:r>
          </w:p>
        </w:tc>
        <w:tc>
          <w:tcPr>
            <w:tcW w:w="148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37</w:t>
            </w:r>
          </w:p>
        </w:tc>
        <w:tc>
          <w:tcPr>
            <w:tcW w:w="1240" w:type="dxa"/>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52,86 </w:t>
            </w:r>
          </w:p>
        </w:tc>
      </w:tr>
      <w:tr w:rsidR="00D24CCC" w:rsidRPr="00D24CCC" w:rsidTr="00D24CCC">
        <w:trPr>
          <w:trHeight w:val="624"/>
        </w:trPr>
        <w:tc>
          <w:tcPr>
            <w:tcW w:w="9660" w:type="dxa"/>
            <w:gridSpan w:val="6"/>
            <w:tcBorders>
              <w:top w:val="single" w:sz="8" w:space="0" w:color="D9D9D9"/>
              <w:left w:val="single" w:sz="8" w:space="0" w:color="D9D9D9"/>
              <w:bottom w:val="single" w:sz="8" w:space="0" w:color="D9D9D9"/>
              <w:right w:val="single" w:sz="8" w:space="0" w:color="D9D9D9"/>
            </w:tcBorders>
            <w:shd w:val="clear" w:color="000000" w:fill="FFFFFF"/>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Tamamlanan sosyal sorumluluk projeleri sayısı 2024 yılı hedefinin %52,86'sı olarak gerçekleşmiştir. Yılsonunda 2024 hedefine ulaşılacağı öngörülmektedir.</w:t>
            </w:r>
          </w:p>
        </w:tc>
      </w:tr>
    </w:tbl>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p w:rsidR="00D24CCC" w:rsidRDefault="00D24CCC" w:rsidP="00FA139E">
      <w:pPr>
        <w:jc w:val="both"/>
        <w:rPr>
          <w:rFonts w:ascii="Century Gothic" w:hAnsi="Century Gothic"/>
          <w:sz w:val="24"/>
          <w:szCs w:val="24"/>
        </w:rPr>
      </w:pPr>
    </w:p>
    <w:tbl>
      <w:tblPr>
        <w:tblW w:w="5000" w:type="pct"/>
        <w:tblCellMar>
          <w:left w:w="70" w:type="dxa"/>
          <w:right w:w="70" w:type="dxa"/>
        </w:tblCellMar>
        <w:tblLook w:val="04A0" w:firstRow="1" w:lastRow="0" w:firstColumn="1" w:lastColumn="0" w:noHBand="0" w:noVBand="1"/>
      </w:tblPr>
      <w:tblGrid>
        <w:gridCol w:w="2773"/>
        <w:gridCol w:w="849"/>
        <w:gridCol w:w="1453"/>
        <w:gridCol w:w="1304"/>
        <w:gridCol w:w="1453"/>
        <w:gridCol w:w="1220"/>
      </w:tblGrid>
      <w:tr w:rsidR="00D24CCC" w:rsidRPr="00D24CCC" w:rsidTr="00D24CCC">
        <w:trPr>
          <w:trHeight w:val="300"/>
        </w:trPr>
        <w:tc>
          <w:tcPr>
            <w:tcW w:w="1646" w:type="pct"/>
            <w:tcBorders>
              <w:top w:val="single" w:sz="8" w:space="0" w:color="D9D9D9"/>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Amaç 4.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Toplumun Yaşam Kalitesinin Yükselmesine Yönelik Çalışmalara Öncülük Etmek</w:t>
            </w:r>
          </w:p>
        </w:tc>
      </w:tr>
      <w:tr w:rsidR="00D24CCC" w:rsidRPr="00D24CCC" w:rsidTr="00D24CCC">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 4.2</w:t>
            </w:r>
          </w:p>
        </w:tc>
        <w:tc>
          <w:tcPr>
            <w:tcW w:w="3354" w:type="pct"/>
            <w:gridSpan w:val="5"/>
            <w:tcBorders>
              <w:top w:val="single" w:sz="8" w:space="0" w:color="D9D9D9"/>
              <w:left w:val="nil"/>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Paydaşlarımızın Üniversite Faaliyetlerine Katılım ve Katkılarının Sürekliliğini Sağlamak</w:t>
            </w:r>
          </w:p>
        </w:tc>
      </w:tr>
      <w:tr w:rsidR="00D24CCC" w:rsidRPr="00D24CCC" w:rsidTr="00D24CCC">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 4.2 Performansı %</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101,80</w:t>
            </w:r>
          </w:p>
        </w:tc>
      </w:tr>
      <w:tr w:rsidR="00D24CCC" w:rsidRPr="00D24CCC" w:rsidTr="00D24CCC">
        <w:trPr>
          <w:trHeight w:val="300"/>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Sorumlu Birim</w:t>
            </w:r>
          </w:p>
        </w:tc>
        <w:tc>
          <w:tcPr>
            <w:tcW w:w="3354" w:type="pct"/>
            <w:gridSpan w:val="5"/>
            <w:tcBorders>
              <w:top w:val="single" w:sz="8" w:space="0" w:color="D9D9D9"/>
              <w:left w:val="nil"/>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Eğitim-Öğretim Rektör Yardımcılığı</w:t>
            </w:r>
          </w:p>
        </w:tc>
      </w:tr>
      <w:tr w:rsidR="00D24CCC" w:rsidRPr="00D24CCC" w:rsidTr="00D24CCC">
        <w:trPr>
          <w:trHeight w:val="300"/>
        </w:trPr>
        <w:tc>
          <w:tcPr>
            <w:tcW w:w="1646" w:type="pct"/>
            <w:tcBorders>
              <w:top w:val="nil"/>
              <w:left w:val="nil"/>
              <w:bottom w:val="single" w:sz="8" w:space="0" w:color="D9D9D9"/>
              <w:right w:val="nil"/>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w:t>
            </w:r>
          </w:p>
        </w:tc>
        <w:tc>
          <w:tcPr>
            <w:tcW w:w="3354" w:type="pct"/>
            <w:gridSpan w:val="5"/>
            <w:tcBorders>
              <w:top w:val="single" w:sz="8" w:space="0" w:color="D9D9D9"/>
              <w:left w:val="nil"/>
              <w:bottom w:val="single" w:sz="8" w:space="0" w:color="D9D9D9"/>
              <w:right w:val="nil"/>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w:t>
            </w:r>
          </w:p>
        </w:tc>
      </w:tr>
      <w:tr w:rsidR="00D24CCC" w:rsidRPr="00D24CCC" w:rsidTr="00D24CCC">
        <w:trPr>
          <w:trHeight w:val="768"/>
        </w:trPr>
        <w:tc>
          <w:tcPr>
            <w:tcW w:w="1646" w:type="pct"/>
            <w:tcBorders>
              <w:top w:val="nil"/>
              <w:left w:val="single" w:sz="8" w:space="0" w:color="D9D9D9"/>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Gösterge Adı</w:t>
            </w:r>
          </w:p>
        </w:tc>
        <w:tc>
          <w:tcPr>
            <w:tcW w:w="445"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Hedefe Etkisi (%)</w:t>
            </w:r>
          </w:p>
        </w:tc>
        <w:tc>
          <w:tcPr>
            <w:tcW w:w="787"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2023 Yılsonu Gerçekleşme </w:t>
            </w:r>
          </w:p>
        </w:tc>
        <w:tc>
          <w:tcPr>
            <w:tcW w:w="714"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2024 Yılsonu Hedefi</w:t>
            </w:r>
          </w:p>
        </w:tc>
        <w:tc>
          <w:tcPr>
            <w:tcW w:w="766"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 xml:space="preserve">2024 1.6 Ay (Haziran Sonu) Gerçekleşme </w:t>
            </w:r>
          </w:p>
        </w:tc>
        <w:tc>
          <w:tcPr>
            <w:tcW w:w="642" w:type="pct"/>
            <w:tcBorders>
              <w:top w:val="nil"/>
              <w:left w:val="nil"/>
              <w:bottom w:val="single" w:sz="8" w:space="0" w:color="D9D9D9"/>
              <w:right w:val="single" w:sz="8" w:space="0" w:color="D9D9D9"/>
            </w:tcBorders>
            <w:shd w:val="clear" w:color="000000" w:fill="002060"/>
            <w:vAlign w:val="center"/>
            <w:hideMark/>
          </w:tcPr>
          <w:p w:rsidR="00D24CCC" w:rsidRPr="00D24CCC" w:rsidRDefault="00D24CCC" w:rsidP="00D24CCC">
            <w:pPr>
              <w:spacing w:after="0" w:line="240" w:lineRule="auto"/>
              <w:jc w:val="center"/>
              <w:rPr>
                <w:rFonts w:ascii="Century Gothic" w:eastAsia="Times New Roman" w:hAnsi="Century Gothic" w:cs="Calibri"/>
                <w:b/>
                <w:bCs/>
                <w:color w:val="FFFFFF"/>
                <w:sz w:val="20"/>
                <w:szCs w:val="20"/>
                <w:lang w:eastAsia="tr-TR"/>
              </w:rPr>
            </w:pPr>
            <w:r w:rsidRPr="00D24CCC">
              <w:rPr>
                <w:rFonts w:ascii="Century Gothic" w:eastAsia="Times New Roman" w:hAnsi="Century Gothic" w:cs="Calibri"/>
                <w:b/>
                <w:bCs/>
                <w:color w:val="FFFFFF"/>
                <w:sz w:val="20"/>
                <w:szCs w:val="20"/>
                <w:lang w:eastAsia="tr-TR"/>
              </w:rPr>
              <w:t>Performans (%)</w:t>
            </w:r>
          </w:p>
        </w:tc>
      </w:tr>
      <w:tr w:rsidR="00D24CCC" w:rsidRPr="00D24CCC" w:rsidTr="00D24CCC">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4.2.1 Mezun sistemine kayıtlı mezun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17.892,00</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17.500,00</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19.386,00</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110,78 </w:t>
            </w:r>
          </w:p>
        </w:tc>
      </w:tr>
      <w:tr w:rsidR="00D24CCC" w:rsidRPr="00D24CCC" w:rsidTr="00D24CCC">
        <w:trPr>
          <w:trHeight w:val="37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Mezun sistemine kayıtlı mezun sayısı 2024 yılı hedefini aşmıştır.</w:t>
            </w:r>
          </w:p>
        </w:tc>
      </w:tr>
      <w:tr w:rsidR="00D24CCC" w:rsidRPr="00D24CCC" w:rsidTr="00D24CCC">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4.2.2 Mezunlara yönelik gerçekleştirilen faaliyet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17</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5</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40,00 </w:t>
            </w:r>
          </w:p>
        </w:tc>
      </w:tr>
      <w:tr w:rsidR="00D24CCC" w:rsidRPr="00D24CCC" w:rsidTr="00D24CCC">
        <w:trPr>
          <w:trHeight w:val="56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Mezunlara yönelik gerçekleştirilen faaliyet sayısı 2024 yılı hedefinin %40'ı şeklinde gerçekleşmiştir. Yılsonunda 2024 yılı hedefine ulaşılacağı öngörülmektedir.</w:t>
            </w:r>
          </w:p>
        </w:tc>
      </w:tr>
      <w:tr w:rsidR="00D24CCC" w:rsidRPr="00D24CCC" w:rsidTr="00D24CCC">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4.2.3 Dış paydaşlarla düzenlenen bilimsel, sosyal ve kültürel etkinlik sayısı</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20</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480</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470</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1368</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291,06 </w:t>
            </w:r>
          </w:p>
        </w:tc>
      </w:tr>
      <w:tr w:rsidR="00D24CCC" w:rsidRPr="00D24CCC" w:rsidTr="00D24CCC">
        <w:trPr>
          <w:trHeight w:val="56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Dış paydaşlarla düzenlenen bilimsel, sosyal ve kültürel etkinlik sayısı 2024 yılı hedefini aşmıştır.</w:t>
            </w:r>
          </w:p>
        </w:tc>
      </w:tr>
      <w:tr w:rsidR="00D24CCC" w:rsidRPr="00D24CCC" w:rsidTr="00D24CCC">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4.2.4 İdari Personelin memnuniyet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0,68</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0,675</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0</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   </w:t>
            </w:r>
          </w:p>
        </w:tc>
      </w:tr>
      <w:tr w:rsidR="00D24CCC" w:rsidRPr="00D24CCC" w:rsidTr="00D24CCC">
        <w:trPr>
          <w:trHeight w:val="62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İdari Personelin memnuniyet anketi henüz gerçekleşmediği için 2024 1.6 aylık dönemde veri mevcut değildir. Anketin yılsonundayapılması planlanmaktadır.</w:t>
            </w:r>
          </w:p>
        </w:tc>
      </w:tr>
      <w:tr w:rsidR="00D24CCC" w:rsidRPr="00D24CCC" w:rsidTr="00D24CCC">
        <w:trPr>
          <w:trHeight w:val="540"/>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4.2.5 Akademik Personelin memnuniyet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0,7</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0,695</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0</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   </w:t>
            </w:r>
          </w:p>
        </w:tc>
      </w:tr>
      <w:tr w:rsidR="00D24CCC" w:rsidRPr="00D24CCC" w:rsidTr="00D24CCC">
        <w:trPr>
          <w:trHeight w:val="564"/>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Akademik Personelin memnuniyet anketi henüz gerçekleşmediği için 2024 1.6 aylık dönemde veri mevcut değildir. Anketin yılsonunda yapılması planlanmaktadır.</w:t>
            </w:r>
          </w:p>
        </w:tc>
      </w:tr>
      <w:tr w:rsidR="00D24CCC" w:rsidRPr="00D24CCC" w:rsidTr="00D24CCC">
        <w:trPr>
          <w:trHeight w:val="804"/>
        </w:trPr>
        <w:tc>
          <w:tcPr>
            <w:tcW w:w="1646" w:type="pct"/>
            <w:tcBorders>
              <w:top w:val="nil"/>
              <w:left w:val="single" w:sz="8" w:space="0" w:color="D9D9D9"/>
              <w:bottom w:val="single" w:sz="8" w:space="0" w:color="D9D9D9"/>
              <w:right w:val="single" w:sz="8" w:space="0" w:color="D9D9D9"/>
            </w:tcBorders>
            <w:shd w:val="clear" w:color="000000" w:fill="E7E6E6"/>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PG 4.2.6 İşverenlerin Üniversitemiz mezunlarından memnuniyet oranı (%)</w:t>
            </w:r>
          </w:p>
        </w:tc>
        <w:tc>
          <w:tcPr>
            <w:tcW w:w="445"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center"/>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15</w:t>
            </w:r>
          </w:p>
        </w:tc>
        <w:tc>
          <w:tcPr>
            <w:tcW w:w="787"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0,89 </w:t>
            </w:r>
          </w:p>
        </w:tc>
        <w:tc>
          <w:tcPr>
            <w:tcW w:w="714"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0,87 </w:t>
            </w:r>
          </w:p>
        </w:tc>
        <w:tc>
          <w:tcPr>
            <w:tcW w:w="766"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0,89 </w:t>
            </w:r>
          </w:p>
        </w:tc>
        <w:tc>
          <w:tcPr>
            <w:tcW w:w="642" w:type="pct"/>
            <w:tcBorders>
              <w:top w:val="nil"/>
              <w:left w:val="nil"/>
              <w:bottom w:val="single" w:sz="8" w:space="0" w:color="D9D9D9"/>
              <w:right w:val="single" w:sz="8" w:space="0" w:color="D9D9D9"/>
            </w:tcBorders>
            <w:shd w:val="clear" w:color="000000" w:fill="E7E6E6"/>
            <w:noWrap/>
            <w:vAlign w:val="center"/>
            <w:hideMark/>
          </w:tcPr>
          <w:p w:rsidR="00D24CCC" w:rsidRPr="00D24CCC" w:rsidRDefault="00D24CCC" w:rsidP="00D24CCC">
            <w:pPr>
              <w:spacing w:after="0" w:line="240" w:lineRule="auto"/>
              <w:jc w:val="right"/>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 xml:space="preserve">        102,87 </w:t>
            </w:r>
          </w:p>
        </w:tc>
      </w:tr>
      <w:tr w:rsidR="00D24CCC" w:rsidRPr="00D24CCC" w:rsidTr="00D24CCC">
        <w:trPr>
          <w:trHeight w:val="552"/>
        </w:trPr>
        <w:tc>
          <w:tcPr>
            <w:tcW w:w="5000" w:type="pct"/>
            <w:gridSpan w:val="6"/>
            <w:tcBorders>
              <w:top w:val="single" w:sz="8" w:space="0" w:color="D9D9D9"/>
              <w:left w:val="single" w:sz="8" w:space="0" w:color="D9D9D9"/>
              <w:bottom w:val="single" w:sz="8" w:space="0" w:color="D9D9D9"/>
              <w:right w:val="single" w:sz="8" w:space="0" w:color="D9D9D9"/>
            </w:tcBorders>
            <w:shd w:val="clear" w:color="auto" w:fill="auto"/>
            <w:vAlign w:val="center"/>
            <w:hideMark/>
          </w:tcPr>
          <w:p w:rsidR="00D24CCC" w:rsidRPr="00D24CCC" w:rsidRDefault="00D24CCC" w:rsidP="00D24CCC">
            <w:pPr>
              <w:spacing w:after="0" w:line="240" w:lineRule="auto"/>
              <w:rPr>
                <w:rFonts w:ascii="Century Gothic" w:eastAsia="Times New Roman" w:hAnsi="Century Gothic" w:cs="Calibri"/>
                <w:color w:val="000000"/>
                <w:sz w:val="20"/>
                <w:szCs w:val="20"/>
                <w:lang w:eastAsia="tr-TR"/>
              </w:rPr>
            </w:pPr>
            <w:r w:rsidRPr="00D24CCC">
              <w:rPr>
                <w:rFonts w:ascii="Century Gothic" w:eastAsia="Times New Roman" w:hAnsi="Century Gothic" w:cs="Calibri"/>
                <w:color w:val="000000"/>
                <w:sz w:val="20"/>
                <w:szCs w:val="20"/>
                <w:lang w:eastAsia="tr-TR"/>
              </w:rPr>
              <w:t>Açıklama: 2024 yılı 1.6 aylık dönemde İşverenlerin Üniversitemiz mezunlarından memnuniyet oranı (%) 2024 yılı hedefini aşmıştır.</w:t>
            </w:r>
          </w:p>
        </w:tc>
      </w:tr>
    </w:tbl>
    <w:p w:rsidR="00D24CCC" w:rsidRDefault="00D24CCC" w:rsidP="00FA139E">
      <w:pPr>
        <w:jc w:val="both"/>
        <w:rPr>
          <w:rFonts w:ascii="Century Gothic" w:hAnsi="Century Gothic"/>
          <w:sz w:val="24"/>
          <w:szCs w:val="24"/>
        </w:rPr>
      </w:pPr>
    </w:p>
    <w:p w:rsidR="0061519B" w:rsidRDefault="0061519B" w:rsidP="00FA139E">
      <w:pPr>
        <w:jc w:val="both"/>
        <w:rPr>
          <w:rFonts w:ascii="Century Gothic" w:hAnsi="Century Gothic"/>
          <w:sz w:val="24"/>
          <w:szCs w:val="24"/>
        </w:rPr>
      </w:pPr>
    </w:p>
    <w:p w:rsidR="0061519B" w:rsidRDefault="0061519B" w:rsidP="00FA139E">
      <w:pPr>
        <w:jc w:val="both"/>
        <w:rPr>
          <w:rFonts w:ascii="Century Gothic" w:hAnsi="Century Gothic"/>
          <w:sz w:val="24"/>
          <w:szCs w:val="24"/>
        </w:rPr>
      </w:pPr>
    </w:p>
    <w:p w:rsidR="0061519B" w:rsidRDefault="0061519B" w:rsidP="00FA139E">
      <w:pPr>
        <w:jc w:val="both"/>
        <w:rPr>
          <w:rFonts w:ascii="Century Gothic" w:hAnsi="Century Gothic"/>
          <w:sz w:val="24"/>
          <w:szCs w:val="24"/>
        </w:rPr>
      </w:pPr>
    </w:p>
    <w:p w:rsidR="0061519B" w:rsidRDefault="0061519B" w:rsidP="00FA139E">
      <w:pPr>
        <w:jc w:val="both"/>
        <w:rPr>
          <w:rFonts w:ascii="Century Gothic" w:hAnsi="Century Gothic"/>
          <w:sz w:val="24"/>
          <w:szCs w:val="24"/>
        </w:rPr>
      </w:pPr>
      <w:bookmarkStart w:id="8" w:name="_GoBack"/>
      <w:bookmarkEnd w:id="8"/>
    </w:p>
    <w:sectPr w:rsidR="0061519B" w:rsidSect="00F440E9">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491" w:rsidRDefault="00FE0491" w:rsidP="00F440E9">
      <w:pPr>
        <w:spacing w:after="0" w:line="240" w:lineRule="auto"/>
      </w:pPr>
      <w:r>
        <w:separator/>
      </w:r>
    </w:p>
  </w:endnote>
  <w:endnote w:type="continuationSeparator" w:id="0">
    <w:p w:rsidR="00FE0491" w:rsidRDefault="00FE0491" w:rsidP="00F44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349075"/>
      <w:docPartObj>
        <w:docPartGallery w:val="Page Numbers (Bottom of Page)"/>
        <w:docPartUnique/>
      </w:docPartObj>
    </w:sdtPr>
    <w:sdtContent>
      <w:p w:rsidR="00F80466" w:rsidRDefault="00F80466">
        <w:pPr>
          <w:pStyle w:val="AltBilgi"/>
          <w:jc w:val="center"/>
        </w:pPr>
        <w:r>
          <w:fldChar w:fldCharType="begin"/>
        </w:r>
        <w:r>
          <w:instrText>PAGE   \* MERGEFORMAT</w:instrText>
        </w:r>
        <w:r>
          <w:fldChar w:fldCharType="separate"/>
        </w:r>
        <w:r w:rsidR="000500D0">
          <w:rPr>
            <w:noProof/>
          </w:rPr>
          <w:t>19</w:t>
        </w:r>
        <w:r>
          <w:fldChar w:fldCharType="end"/>
        </w:r>
      </w:p>
    </w:sdtContent>
  </w:sdt>
  <w:p w:rsidR="00F80466" w:rsidRDefault="00F8046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491" w:rsidRDefault="00FE0491" w:rsidP="00F440E9">
      <w:pPr>
        <w:spacing w:after="0" w:line="240" w:lineRule="auto"/>
      </w:pPr>
      <w:r>
        <w:separator/>
      </w:r>
    </w:p>
  </w:footnote>
  <w:footnote w:type="continuationSeparator" w:id="0">
    <w:p w:rsidR="00FE0491" w:rsidRDefault="00FE0491" w:rsidP="00F44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7AA6"/>
    <w:multiLevelType w:val="hybridMultilevel"/>
    <w:tmpl w:val="DB98161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29A5422"/>
    <w:multiLevelType w:val="hybridMultilevel"/>
    <w:tmpl w:val="BE903268"/>
    <w:lvl w:ilvl="0" w:tplc="615EE2BE">
      <w:start w:val="1"/>
      <w:numFmt w:val="bullet"/>
      <w:lvlText w:val=""/>
      <w:lvlJc w:val="left"/>
      <w:pPr>
        <w:ind w:left="113" w:firstLine="24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C671C0"/>
    <w:multiLevelType w:val="hybridMultilevel"/>
    <w:tmpl w:val="8040AFE6"/>
    <w:lvl w:ilvl="0" w:tplc="76E21D66">
      <w:start w:val="1"/>
      <w:numFmt w:val="upperLetter"/>
      <w:pStyle w:val="Balk2"/>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9F2"/>
    <w:rsid w:val="000500D0"/>
    <w:rsid w:val="002742AA"/>
    <w:rsid w:val="003E23C6"/>
    <w:rsid w:val="0054369A"/>
    <w:rsid w:val="005D4551"/>
    <w:rsid w:val="0061519B"/>
    <w:rsid w:val="00897278"/>
    <w:rsid w:val="008C55CC"/>
    <w:rsid w:val="00990E63"/>
    <w:rsid w:val="00CA363A"/>
    <w:rsid w:val="00D24CCC"/>
    <w:rsid w:val="00DE4C4E"/>
    <w:rsid w:val="00F349F2"/>
    <w:rsid w:val="00F440E9"/>
    <w:rsid w:val="00F80466"/>
    <w:rsid w:val="00FA139E"/>
    <w:rsid w:val="00FE0491"/>
    <w:rsid w:val="00FE0A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37DE5"/>
  <w15:chartTrackingRefBased/>
  <w15:docId w15:val="{DBD7C6D4-0B5B-4AA5-997D-BE6135C1A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440E9"/>
    <w:pPr>
      <w:keepNext/>
      <w:keepLines/>
      <w:spacing w:after="240"/>
      <w:jc w:val="center"/>
      <w:outlineLvl w:val="0"/>
    </w:pPr>
    <w:rPr>
      <w:rFonts w:asciiTheme="majorHAnsi" w:eastAsiaTheme="majorEastAsia" w:hAnsiTheme="majorHAnsi" w:cstheme="majorBidi"/>
      <w:b/>
      <w:color w:val="2E74B5" w:themeColor="accent1" w:themeShade="BF"/>
      <w:sz w:val="36"/>
      <w:szCs w:val="36"/>
    </w:rPr>
  </w:style>
  <w:style w:type="paragraph" w:styleId="Balk2">
    <w:name w:val="heading 2"/>
    <w:basedOn w:val="Normal"/>
    <w:next w:val="Normal"/>
    <w:link w:val="Balk2Char"/>
    <w:uiPriority w:val="9"/>
    <w:unhideWhenUsed/>
    <w:qFormat/>
    <w:rsid w:val="00CA363A"/>
    <w:pPr>
      <w:keepNext/>
      <w:keepLines/>
      <w:numPr>
        <w:numId w:val="3"/>
      </w:numPr>
      <w:spacing w:before="40" w:after="240"/>
      <w:jc w:val="center"/>
      <w:outlineLvl w:val="1"/>
    </w:pPr>
    <w:rPr>
      <w:rFonts w:ascii="Century Gothic" w:hAnsi="Century Gothic"/>
      <w:b/>
      <w:color w:val="323E4F" w:themeColor="text2"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440E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40E9"/>
    <w:rPr>
      <w:rFonts w:eastAsiaTheme="minorEastAsia"/>
      <w:lang w:eastAsia="tr-TR"/>
    </w:rPr>
  </w:style>
  <w:style w:type="paragraph" w:styleId="stBilgi">
    <w:name w:val="header"/>
    <w:basedOn w:val="Normal"/>
    <w:link w:val="stBilgiChar"/>
    <w:uiPriority w:val="99"/>
    <w:unhideWhenUsed/>
    <w:rsid w:val="00F440E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440E9"/>
  </w:style>
  <w:style w:type="paragraph" w:styleId="AltBilgi">
    <w:name w:val="footer"/>
    <w:basedOn w:val="Normal"/>
    <w:link w:val="AltBilgiChar"/>
    <w:uiPriority w:val="99"/>
    <w:unhideWhenUsed/>
    <w:rsid w:val="00F440E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440E9"/>
  </w:style>
  <w:style w:type="character" w:customStyle="1" w:styleId="Balk1Char">
    <w:name w:val="Başlık 1 Char"/>
    <w:basedOn w:val="VarsaylanParagrafYazTipi"/>
    <w:link w:val="Balk1"/>
    <w:uiPriority w:val="9"/>
    <w:rsid w:val="00F440E9"/>
    <w:rPr>
      <w:rFonts w:asciiTheme="majorHAnsi" w:eastAsiaTheme="majorEastAsia" w:hAnsiTheme="majorHAnsi" w:cstheme="majorBidi"/>
      <w:b/>
      <w:color w:val="2E74B5" w:themeColor="accent1" w:themeShade="BF"/>
      <w:sz w:val="36"/>
      <w:szCs w:val="36"/>
    </w:rPr>
  </w:style>
  <w:style w:type="character" w:customStyle="1" w:styleId="Balk2Char">
    <w:name w:val="Başlık 2 Char"/>
    <w:basedOn w:val="VarsaylanParagrafYazTipi"/>
    <w:link w:val="Balk2"/>
    <w:uiPriority w:val="9"/>
    <w:rsid w:val="00CA363A"/>
    <w:rPr>
      <w:rFonts w:ascii="Century Gothic" w:hAnsi="Century Gothic"/>
      <w:b/>
      <w:color w:val="323E4F" w:themeColor="text2" w:themeShade="BF"/>
      <w:sz w:val="28"/>
      <w:szCs w:val="28"/>
    </w:rPr>
  </w:style>
  <w:style w:type="paragraph" w:styleId="ListeParagraf">
    <w:name w:val="List Paragraph"/>
    <w:basedOn w:val="Normal"/>
    <w:uiPriority w:val="34"/>
    <w:qFormat/>
    <w:rsid w:val="00CA363A"/>
    <w:pPr>
      <w:ind w:left="720"/>
      <w:contextualSpacing/>
    </w:pPr>
  </w:style>
  <w:style w:type="table" w:styleId="TabloKlavuzu">
    <w:name w:val="Table Grid"/>
    <w:basedOn w:val="NormalTablo"/>
    <w:uiPriority w:val="39"/>
    <w:rsid w:val="00CA3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5D4551"/>
    <w:pPr>
      <w:spacing w:before="240" w:after="0"/>
      <w:jc w:val="left"/>
      <w:outlineLvl w:val="9"/>
    </w:pPr>
    <w:rPr>
      <w:b w:val="0"/>
      <w:sz w:val="32"/>
      <w:szCs w:val="32"/>
      <w:lang w:eastAsia="tr-TR"/>
    </w:rPr>
  </w:style>
  <w:style w:type="paragraph" w:styleId="T1">
    <w:name w:val="toc 1"/>
    <w:basedOn w:val="Normal"/>
    <w:next w:val="Normal"/>
    <w:autoRedefine/>
    <w:uiPriority w:val="39"/>
    <w:unhideWhenUsed/>
    <w:rsid w:val="005D4551"/>
    <w:pPr>
      <w:spacing w:after="100"/>
    </w:pPr>
  </w:style>
  <w:style w:type="paragraph" w:styleId="T2">
    <w:name w:val="toc 2"/>
    <w:basedOn w:val="Normal"/>
    <w:next w:val="Normal"/>
    <w:autoRedefine/>
    <w:uiPriority w:val="39"/>
    <w:unhideWhenUsed/>
    <w:rsid w:val="005D4551"/>
    <w:pPr>
      <w:spacing w:after="100"/>
      <w:ind w:left="220"/>
    </w:pPr>
  </w:style>
  <w:style w:type="character" w:styleId="Kpr">
    <w:name w:val="Hyperlink"/>
    <w:basedOn w:val="VarsaylanParagrafYazTipi"/>
    <w:uiPriority w:val="99"/>
    <w:unhideWhenUsed/>
    <w:rsid w:val="005D4551"/>
    <w:rPr>
      <w:color w:val="0563C1" w:themeColor="hyperlink"/>
      <w:u w:val="single"/>
    </w:rPr>
  </w:style>
  <w:style w:type="paragraph" w:styleId="NormalWeb">
    <w:name w:val="Normal (Web)"/>
    <w:basedOn w:val="Normal"/>
    <w:uiPriority w:val="99"/>
    <w:semiHidden/>
    <w:unhideWhenUsed/>
    <w:rsid w:val="0061519B"/>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99421">
      <w:bodyDiv w:val="1"/>
      <w:marLeft w:val="0"/>
      <w:marRight w:val="0"/>
      <w:marTop w:val="0"/>
      <w:marBottom w:val="0"/>
      <w:divBdr>
        <w:top w:val="none" w:sz="0" w:space="0" w:color="auto"/>
        <w:left w:val="none" w:sz="0" w:space="0" w:color="auto"/>
        <w:bottom w:val="none" w:sz="0" w:space="0" w:color="auto"/>
        <w:right w:val="none" w:sz="0" w:space="0" w:color="auto"/>
      </w:divBdr>
    </w:div>
    <w:div w:id="203175207">
      <w:bodyDiv w:val="1"/>
      <w:marLeft w:val="0"/>
      <w:marRight w:val="0"/>
      <w:marTop w:val="0"/>
      <w:marBottom w:val="0"/>
      <w:divBdr>
        <w:top w:val="none" w:sz="0" w:space="0" w:color="auto"/>
        <w:left w:val="none" w:sz="0" w:space="0" w:color="auto"/>
        <w:bottom w:val="none" w:sz="0" w:space="0" w:color="auto"/>
        <w:right w:val="none" w:sz="0" w:space="0" w:color="auto"/>
      </w:divBdr>
    </w:div>
    <w:div w:id="323357538">
      <w:bodyDiv w:val="1"/>
      <w:marLeft w:val="0"/>
      <w:marRight w:val="0"/>
      <w:marTop w:val="0"/>
      <w:marBottom w:val="0"/>
      <w:divBdr>
        <w:top w:val="none" w:sz="0" w:space="0" w:color="auto"/>
        <w:left w:val="none" w:sz="0" w:space="0" w:color="auto"/>
        <w:bottom w:val="none" w:sz="0" w:space="0" w:color="auto"/>
        <w:right w:val="none" w:sz="0" w:space="0" w:color="auto"/>
      </w:divBdr>
    </w:div>
    <w:div w:id="336538162">
      <w:bodyDiv w:val="1"/>
      <w:marLeft w:val="0"/>
      <w:marRight w:val="0"/>
      <w:marTop w:val="0"/>
      <w:marBottom w:val="0"/>
      <w:divBdr>
        <w:top w:val="none" w:sz="0" w:space="0" w:color="auto"/>
        <w:left w:val="none" w:sz="0" w:space="0" w:color="auto"/>
        <w:bottom w:val="none" w:sz="0" w:space="0" w:color="auto"/>
        <w:right w:val="none" w:sz="0" w:space="0" w:color="auto"/>
      </w:divBdr>
    </w:div>
    <w:div w:id="378168219">
      <w:bodyDiv w:val="1"/>
      <w:marLeft w:val="0"/>
      <w:marRight w:val="0"/>
      <w:marTop w:val="0"/>
      <w:marBottom w:val="0"/>
      <w:divBdr>
        <w:top w:val="none" w:sz="0" w:space="0" w:color="auto"/>
        <w:left w:val="none" w:sz="0" w:space="0" w:color="auto"/>
        <w:bottom w:val="none" w:sz="0" w:space="0" w:color="auto"/>
        <w:right w:val="none" w:sz="0" w:space="0" w:color="auto"/>
      </w:divBdr>
    </w:div>
    <w:div w:id="412241259">
      <w:bodyDiv w:val="1"/>
      <w:marLeft w:val="0"/>
      <w:marRight w:val="0"/>
      <w:marTop w:val="0"/>
      <w:marBottom w:val="0"/>
      <w:divBdr>
        <w:top w:val="none" w:sz="0" w:space="0" w:color="auto"/>
        <w:left w:val="none" w:sz="0" w:space="0" w:color="auto"/>
        <w:bottom w:val="none" w:sz="0" w:space="0" w:color="auto"/>
        <w:right w:val="none" w:sz="0" w:space="0" w:color="auto"/>
      </w:divBdr>
    </w:div>
    <w:div w:id="549197004">
      <w:bodyDiv w:val="1"/>
      <w:marLeft w:val="0"/>
      <w:marRight w:val="0"/>
      <w:marTop w:val="0"/>
      <w:marBottom w:val="0"/>
      <w:divBdr>
        <w:top w:val="none" w:sz="0" w:space="0" w:color="auto"/>
        <w:left w:val="none" w:sz="0" w:space="0" w:color="auto"/>
        <w:bottom w:val="none" w:sz="0" w:space="0" w:color="auto"/>
        <w:right w:val="none" w:sz="0" w:space="0" w:color="auto"/>
      </w:divBdr>
    </w:div>
    <w:div w:id="717827316">
      <w:bodyDiv w:val="1"/>
      <w:marLeft w:val="0"/>
      <w:marRight w:val="0"/>
      <w:marTop w:val="0"/>
      <w:marBottom w:val="0"/>
      <w:divBdr>
        <w:top w:val="none" w:sz="0" w:space="0" w:color="auto"/>
        <w:left w:val="none" w:sz="0" w:space="0" w:color="auto"/>
        <w:bottom w:val="none" w:sz="0" w:space="0" w:color="auto"/>
        <w:right w:val="none" w:sz="0" w:space="0" w:color="auto"/>
      </w:divBdr>
    </w:div>
    <w:div w:id="768627318">
      <w:bodyDiv w:val="1"/>
      <w:marLeft w:val="0"/>
      <w:marRight w:val="0"/>
      <w:marTop w:val="0"/>
      <w:marBottom w:val="0"/>
      <w:divBdr>
        <w:top w:val="none" w:sz="0" w:space="0" w:color="auto"/>
        <w:left w:val="none" w:sz="0" w:space="0" w:color="auto"/>
        <w:bottom w:val="none" w:sz="0" w:space="0" w:color="auto"/>
        <w:right w:val="none" w:sz="0" w:space="0" w:color="auto"/>
      </w:divBdr>
    </w:div>
    <w:div w:id="1234320573">
      <w:bodyDiv w:val="1"/>
      <w:marLeft w:val="0"/>
      <w:marRight w:val="0"/>
      <w:marTop w:val="0"/>
      <w:marBottom w:val="0"/>
      <w:divBdr>
        <w:top w:val="none" w:sz="0" w:space="0" w:color="auto"/>
        <w:left w:val="none" w:sz="0" w:space="0" w:color="auto"/>
        <w:bottom w:val="none" w:sz="0" w:space="0" w:color="auto"/>
        <w:right w:val="none" w:sz="0" w:space="0" w:color="auto"/>
      </w:divBdr>
    </w:div>
    <w:div w:id="1300064491">
      <w:bodyDiv w:val="1"/>
      <w:marLeft w:val="0"/>
      <w:marRight w:val="0"/>
      <w:marTop w:val="0"/>
      <w:marBottom w:val="0"/>
      <w:divBdr>
        <w:top w:val="none" w:sz="0" w:space="0" w:color="auto"/>
        <w:left w:val="none" w:sz="0" w:space="0" w:color="auto"/>
        <w:bottom w:val="none" w:sz="0" w:space="0" w:color="auto"/>
        <w:right w:val="none" w:sz="0" w:space="0" w:color="auto"/>
      </w:divBdr>
    </w:div>
    <w:div w:id="1490058288">
      <w:bodyDiv w:val="1"/>
      <w:marLeft w:val="0"/>
      <w:marRight w:val="0"/>
      <w:marTop w:val="0"/>
      <w:marBottom w:val="0"/>
      <w:divBdr>
        <w:top w:val="none" w:sz="0" w:space="0" w:color="auto"/>
        <w:left w:val="none" w:sz="0" w:space="0" w:color="auto"/>
        <w:bottom w:val="none" w:sz="0" w:space="0" w:color="auto"/>
        <w:right w:val="none" w:sz="0" w:space="0" w:color="auto"/>
      </w:divBdr>
    </w:div>
    <w:div w:id="1561943139">
      <w:bodyDiv w:val="1"/>
      <w:marLeft w:val="0"/>
      <w:marRight w:val="0"/>
      <w:marTop w:val="0"/>
      <w:marBottom w:val="0"/>
      <w:divBdr>
        <w:top w:val="none" w:sz="0" w:space="0" w:color="auto"/>
        <w:left w:val="none" w:sz="0" w:space="0" w:color="auto"/>
        <w:bottom w:val="none" w:sz="0" w:space="0" w:color="auto"/>
        <w:right w:val="none" w:sz="0" w:space="0" w:color="auto"/>
      </w:divBdr>
    </w:div>
    <w:div w:id="1576941020">
      <w:bodyDiv w:val="1"/>
      <w:marLeft w:val="0"/>
      <w:marRight w:val="0"/>
      <w:marTop w:val="0"/>
      <w:marBottom w:val="0"/>
      <w:divBdr>
        <w:top w:val="none" w:sz="0" w:space="0" w:color="auto"/>
        <w:left w:val="none" w:sz="0" w:space="0" w:color="auto"/>
        <w:bottom w:val="none" w:sz="0" w:space="0" w:color="auto"/>
        <w:right w:val="none" w:sz="0" w:space="0" w:color="auto"/>
      </w:divBdr>
    </w:div>
    <w:div w:id="1583447851">
      <w:bodyDiv w:val="1"/>
      <w:marLeft w:val="0"/>
      <w:marRight w:val="0"/>
      <w:marTop w:val="0"/>
      <w:marBottom w:val="0"/>
      <w:divBdr>
        <w:top w:val="none" w:sz="0" w:space="0" w:color="auto"/>
        <w:left w:val="none" w:sz="0" w:space="0" w:color="auto"/>
        <w:bottom w:val="none" w:sz="0" w:space="0" w:color="auto"/>
        <w:right w:val="none" w:sz="0" w:space="0" w:color="auto"/>
      </w:divBdr>
    </w:div>
    <w:div w:id="1785618020">
      <w:bodyDiv w:val="1"/>
      <w:marLeft w:val="0"/>
      <w:marRight w:val="0"/>
      <w:marTop w:val="0"/>
      <w:marBottom w:val="0"/>
      <w:divBdr>
        <w:top w:val="none" w:sz="0" w:space="0" w:color="auto"/>
        <w:left w:val="none" w:sz="0" w:space="0" w:color="auto"/>
        <w:bottom w:val="none" w:sz="0" w:space="0" w:color="auto"/>
        <w:right w:val="none" w:sz="0" w:space="0" w:color="auto"/>
      </w:divBdr>
    </w:div>
    <w:div w:id="1978802217">
      <w:bodyDiv w:val="1"/>
      <w:marLeft w:val="0"/>
      <w:marRight w:val="0"/>
      <w:marTop w:val="0"/>
      <w:marBottom w:val="0"/>
      <w:divBdr>
        <w:top w:val="none" w:sz="0" w:space="0" w:color="auto"/>
        <w:left w:val="none" w:sz="0" w:space="0" w:color="auto"/>
        <w:bottom w:val="none" w:sz="0" w:space="0" w:color="auto"/>
        <w:right w:val="none" w:sz="0" w:space="0" w:color="auto"/>
      </w:divBdr>
    </w:div>
    <w:div w:id="2050109678">
      <w:bodyDiv w:val="1"/>
      <w:marLeft w:val="0"/>
      <w:marRight w:val="0"/>
      <w:marTop w:val="0"/>
      <w:marBottom w:val="0"/>
      <w:divBdr>
        <w:top w:val="none" w:sz="0" w:space="0" w:color="auto"/>
        <w:left w:val="none" w:sz="0" w:space="0" w:color="auto"/>
        <w:bottom w:val="none" w:sz="0" w:space="0" w:color="auto"/>
        <w:right w:val="none" w:sz="0" w:space="0" w:color="auto"/>
      </w:divBdr>
    </w:div>
    <w:div w:id="213721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DAE4F-F669-4C13-BCEE-81FB6AEE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20</Pages>
  <Words>5186</Words>
  <Characters>29563</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2021-2025 STRATEJİK PLANI İZLEME VE DEĞERLENDİRME RAPORU</dc:title>
  <dc:subject/>
  <dc:creator>OCAK-HAZİRAN 2024</dc:creator>
  <cp:keywords/>
  <dc:description/>
  <cp:lastModifiedBy>Supervisor</cp:lastModifiedBy>
  <cp:revision>7</cp:revision>
  <dcterms:created xsi:type="dcterms:W3CDTF">2024-08-28T23:45:00Z</dcterms:created>
  <dcterms:modified xsi:type="dcterms:W3CDTF">2024-09-06T16:34:00Z</dcterms:modified>
</cp:coreProperties>
</file>